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E1A84" w14:textId="77777777" w:rsidR="00056DD9" w:rsidRPr="00135D77" w:rsidRDefault="0020746C" w:rsidP="002844B8">
      <w:pPr>
        <w:ind w:right="-24"/>
        <w:jc w:val="right"/>
      </w:pPr>
      <w:r w:rsidRPr="00135D77">
        <w:rPr>
          <w:noProof/>
          <w:lang w:eastAsia="en-IE"/>
        </w:rPr>
        <w:drawing>
          <wp:inline distT="0" distB="0" distL="0" distR="0" wp14:anchorId="03B8371D" wp14:editId="2B06B1A7">
            <wp:extent cx="1841350" cy="801878"/>
            <wp:effectExtent l="0" t="0" r="6985" b="0"/>
            <wp:docPr id="1" name="Picture 1" descr="KIN_Logo_GP 2Mar17 R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_Logo_GP 2Mar17 RHS"/>
                    <pic:cNvPicPr>
                      <a:picLocks noChangeAspect="1" noChangeArrowheads="1"/>
                    </pic:cNvPicPr>
                  </pic:nvPicPr>
                  <pic:blipFill>
                    <a:blip r:embed="rId8" cstate="print"/>
                    <a:srcRect/>
                    <a:stretch>
                      <a:fillRect/>
                    </a:stretch>
                  </pic:blipFill>
                  <pic:spPr bwMode="auto">
                    <a:xfrm>
                      <a:off x="0" y="0"/>
                      <a:ext cx="1881363" cy="819303"/>
                    </a:xfrm>
                    <a:prstGeom prst="rect">
                      <a:avLst/>
                    </a:prstGeom>
                    <a:noFill/>
                    <a:ln w="9525">
                      <a:noFill/>
                      <a:miter lim="800000"/>
                      <a:headEnd/>
                      <a:tailEnd/>
                    </a:ln>
                  </pic:spPr>
                </pic:pic>
              </a:graphicData>
            </a:graphic>
          </wp:inline>
        </w:drawing>
      </w:r>
    </w:p>
    <w:p w14:paraId="702C2519" w14:textId="7421B9EA" w:rsidR="003420C9" w:rsidRPr="00135D77" w:rsidRDefault="00AD1BCD" w:rsidP="003420C9">
      <w:pPr>
        <w:jc w:val="right"/>
      </w:pPr>
      <w:hyperlink r:id="rId9" w:history="1">
        <w:r w:rsidR="001F1E23" w:rsidRPr="00797C3E">
          <w:rPr>
            <w:rStyle w:val="Hyperlink"/>
          </w:rPr>
          <w:t>www.kilmainham-inchicore.ie</w:t>
        </w:r>
      </w:hyperlink>
      <w:r w:rsidR="001F1E23">
        <w:t xml:space="preserve"> </w:t>
      </w:r>
    </w:p>
    <w:p w14:paraId="737B631E" w14:textId="5910CA24" w:rsidR="001F1E23" w:rsidRPr="001F1E23" w:rsidRDefault="001F1E23" w:rsidP="001F1E23">
      <w:pPr>
        <w:rPr>
          <w:lang w:val="en-US"/>
        </w:rPr>
      </w:pPr>
      <w:r w:rsidRPr="001F1E23">
        <w:rPr>
          <w:lang w:val="en-US"/>
        </w:rPr>
        <w:t>Development Plan Team,</w:t>
      </w:r>
    </w:p>
    <w:p w14:paraId="5F9679FF" w14:textId="77777777" w:rsidR="001F1E23" w:rsidRPr="001F1E23" w:rsidRDefault="001F1E23" w:rsidP="001F1E23">
      <w:r w:rsidRPr="001F1E23">
        <w:t>Planning and Property Development Department,</w:t>
      </w:r>
    </w:p>
    <w:p w14:paraId="7DDEDB78" w14:textId="552AE4C5" w:rsidR="001F1E23" w:rsidRPr="001F1E23" w:rsidRDefault="001F1E23" w:rsidP="001F1E23">
      <w:r w:rsidRPr="001F1E23">
        <w:t>Dublin City Council,</w:t>
      </w:r>
      <w:r>
        <w:t xml:space="preserve"> </w:t>
      </w:r>
      <w:r w:rsidRPr="001F1E23">
        <w:t>Wood Quay, Dublin 8</w:t>
      </w:r>
    </w:p>
    <w:p w14:paraId="7881BA43" w14:textId="1E4C4015" w:rsidR="00B56286" w:rsidRPr="00A67825" w:rsidRDefault="00FE728C" w:rsidP="00FE728C">
      <w:pPr>
        <w:jc w:val="right"/>
      </w:pPr>
      <w:r>
        <w:rPr>
          <w:color w:val="0070C0"/>
        </w:rPr>
        <w:tab/>
      </w:r>
      <w:r w:rsidR="001F1E23" w:rsidRPr="002C6017">
        <w:rPr>
          <w:color w:val="0070C0"/>
        </w:rPr>
        <w:tab/>
      </w:r>
      <w:r w:rsidR="001F1E23">
        <w:tab/>
      </w:r>
      <w:r w:rsidR="008F7164" w:rsidRPr="00A67825">
        <w:tab/>
      </w:r>
      <w:r w:rsidR="008F7164" w:rsidRPr="00A67825">
        <w:tab/>
      </w:r>
      <w:r w:rsidR="008F7164" w:rsidRPr="00A67825">
        <w:tab/>
      </w:r>
      <w:r w:rsidR="008F7164" w:rsidRPr="00A67825">
        <w:tab/>
      </w:r>
      <w:r w:rsidR="008F7164" w:rsidRPr="00A67825">
        <w:tab/>
      </w:r>
      <w:r w:rsidR="00A67825" w:rsidRPr="00A67825">
        <w:tab/>
      </w:r>
      <w:r w:rsidR="00A67825" w:rsidRPr="00A67825">
        <w:tab/>
      </w:r>
      <w:r w:rsidR="00A67825" w:rsidRPr="00A67825">
        <w:tab/>
      </w:r>
      <w:r w:rsidR="00AA3F65" w:rsidRPr="00A67825">
        <w:t>1</w:t>
      </w:r>
      <w:r w:rsidR="00A54CC0">
        <w:t>4</w:t>
      </w:r>
      <w:r w:rsidR="001F1E23" w:rsidRPr="001F1E23">
        <w:rPr>
          <w:vertAlign w:val="superscript"/>
        </w:rPr>
        <w:t>th</w:t>
      </w:r>
      <w:r w:rsidR="001F1E23">
        <w:t xml:space="preserve"> February 2022</w:t>
      </w:r>
    </w:p>
    <w:p w14:paraId="09DE3E97" w14:textId="77777777" w:rsidR="00E331CE" w:rsidRPr="00135D77" w:rsidRDefault="00E331CE" w:rsidP="003420C9"/>
    <w:p w14:paraId="0F9D9C35" w14:textId="73A0E453" w:rsidR="002A4AD6" w:rsidRPr="00135D77" w:rsidRDefault="00877ACC" w:rsidP="001F1E23">
      <w:pPr>
        <w:pBdr>
          <w:top w:val="single" w:sz="4" w:space="1" w:color="auto"/>
          <w:left w:val="single" w:sz="4" w:space="4" w:color="auto"/>
          <w:bottom w:val="single" w:sz="4" w:space="1" w:color="auto"/>
          <w:right w:val="single" w:sz="4" w:space="4" w:color="auto"/>
        </w:pBdr>
        <w:ind w:firstLine="720"/>
        <w:jc w:val="center"/>
      </w:pPr>
      <w:r w:rsidRPr="002F78D0">
        <w:rPr>
          <w:rFonts w:ascii="Open Sans" w:hAnsi="Open Sans" w:cs="Open Sans"/>
          <w:b/>
          <w:color w:val="000000"/>
          <w:sz w:val="28"/>
          <w:szCs w:val="28"/>
          <w:shd w:val="clear" w:color="auto" w:fill="FFFFFF"/>
        </w:rPr>
        <w:t xml:space="preserve">RE: </w:t>
      </w:r>
      <w:r w:rsidR="000262F8">
        <w:rPr>
          <w:rFonts w:ascii="Open Sans" w:hAnsi="Open Sans" w:cs="Open Sans"/>
          <w:b/>
          <w:color w:val="000000"/>
          <w:sz w:val="28"/>
          <w:szCs w:val="28"/>
          <w:shd w:val="clear" w:color="auto" w:fill="FFFFFF"/>
        </w:rPr>
        <w:t>KIN s</w:t>
      </w:r>
      <w:r w:rsidR="001F1E23">
        <w:rPr>
          <w:rFonts w:ascii="Open Sans" w:hAnsi="Open Sans" w:cs="Open Sans"/>
          <w:b/>
          <w:color w:val="000000"/>
          <w:sz w:val="28"/>
          <w:szCs w:val="28"/>
          <w:shd w:val="clear" w:color="auto" w:fill="FFFFFF"/>
        </w:rPr>
        <w:t>ubmission on Dublin City Development Plan 2022-2028</w:t>
      </w:r>
    </w:p>
    <w:p w14:paraId="1828B6E7" w14:textId="77777777" w:rsidR="00B83ED9" w:rsidRDefault="00B83ED9" w:rsidP="002A4AD6"/>
    <w:p w14:paraId="2C7E5647" w14:textId="78A2C9E8" w:rsidR="002A4AD6" w:rsidRPr="00135D77" w:rsidRDefault="001F1E23" w:rsidP="002A4AD6">
      <w:r>
        <w:t>To whom it concerns</w:t>
      </w:r>
      <w:r w:rsidR="00464457">
        <w:t>,</w:t>
      </w:r>
    </w:p>
    <w:p w14:paraId="05C09E0A" w14:textId="77777777" w:rsidR="002A4AD6" w:rsidRPr="00135D77" w:rsidRDefault="002A4AD6" w:rsidP="002A4AD6"/>
    <w:p w14:paraId="497B9A9B" w14:textId="36174995" w:rsidR="00E331CE" w:rsidRPr="00135D77" w:rsidRDefault="002A4AD6" w:rsidP="008B64E4">
      <w:pPr>
        <w:rPr>
          <w:b/>
          <w:i/>
        </w:rPr>
      </w:pPr>
      <w:r w:rsidRPr="00135D77">
        <w:t>On behalf of</w:t>
      </w:r>
      <w:r w:rsidR="00144FAC" w:rsidRPr="00135D77">
        <w:t xml:space="preserve"> the</w:t>
      </w:r>
      <w:r w:rsidR="00056DD9" w:rsidRPr="00135D77">
        <w:t xml:space="preserve"> </w:t>
      </w:r>
      <w:r w:rsidR="00056DD9" w:rsidRPr="0039555D">
        <w:rPr>
          <w:b/>
        </w:rPr>
        <w:t>Kilmainham Inchicore Network</w:t>
      </w:r>
      <w:r w:rsidRPr="0039555D">
        <w:rPr>
          <w:b/>
        </w:rPr>
        <w:t xml:space="preserve"> </w:t>
      </w:r>
      <w:r w:rsidR="00867C1D" w:rsidRPr="0039555D">
        <w:rPr>
          <w:b/>
        </w:rPr>
        <w:t>(</w:t>
      </w:r>
      <w:r w:rsidR="00437DDC" w:rsidRPr="0039555D">
        <w:rPr>
          <w:b/>
        </w:rPr>
        <w:t>KIN)</w:t>
      </w:r>
      <w:r w:rsidR="00437DDC" w:rsidRPr="00135D77">
        <w:t>,</w:t>
      </w:r>
      <w:r w:rsidR="00867C1D" w:rsidRPr="00135D77">
        <w:t xml:space="preserve"> </w:t>
      </w:r>
      <w:r w:rsidRPr="00135D77">
        <w:t xml:space="preserve">we wish to lodge </w:t>
      </w:r>
      <w:r w:rsidR="00E331CE" w:rsidRPr="00135D77">
        <w:t>written</w:t>
      </w:r>
      <w:r w:rsidR="00464457">
        <w:t xml:space="preserve"> </w:t>
      </w:r>
      <w:r w:rsidR="001F1E23">
        <w:t xml:space="preserve">submission </w:t>
      </w:r>
      <w:r w:rsidR="00E331CE" w:rsidRPr="00135D77">
        <w:t xml:space="preserve">in relation to the </w:t>
      </w:r>
      <w:r w:rsidR="001F1E23">
        <w:t>Dublin City Development Plan 2022-2028</w:t>
      </w:r>
      <w:r w:rsidR="00E331CE" w:rsidRPr="00AA3F65">
        <w:rPr>
          <w:b/>
          <w:i/>
        </w:rPr>
        <w:t>.</w:t>
      </w:r>
    </w:p>
    <w:p w14:paraId="25E71642" w14:textId="77777777" w:rsidR="00E331CE" w:rsidRPr="00135D77" w:rsidRDefault="00E331CE" w:rsidP="008B64E4"/>
    <w:p w14:paraId="2D4DB5AC" w14:textId="77777777" w:rsidR="00867C1D" w:rsidRDefault="00867C1D" w:rsidP="008B64E4">
      <w:r w:rsidRPr="00135D77">
        <w:t xml:space="preserve">The </w:t>
      </w:r>
      <w:r w:rsidRPr="0039555D">
        <w:rPr>
          <w:b/>
        </w:rPr>
        <w:t>Kilmainham Inchicore Network</w:t>
      </w:r>
      <w:r w:rsidRPr="00135D77">
        <w:t xml:space="preserve"> </w:t>
      </w:r>
      <w:r w:rsidR="0039555D" w:rsidRPr="0039555D">
        <w:rPr>
          <w:b/>
        </w:rPr>
        <w:t>(KIN)</w:t>
      </w:r>
      <w:r w:rsidR="0039555D">
        <w:t xml:space="preserve"> </w:t>
      </w:r>
      <w:r w:rsidRPr="00135D77">
        <w:t xml:space="preserve">facilitates enterprise, community, cultural and environmental development and enhancement of Kilmainham and Inchicore; aiming to create a most desirable safe district of Dublin to live, work and enjoy.  Within the Kilmainham Inchicore </w:t>
      </w:r>
      <w:r w:rsidR="00437DDC" w:rsidRPr="00135D77">
        <w:t>area,</w:t>
      </w:r>
      <w:r w:rsidRPr="00135D77">
        <w:t xml:space="preserve"> there are </w:t>
      </w:r>
      <w:r w:rsidR="0023220C" w:rsidRPr="00135D77">
        <w:t xml:space="preserve">over </w:t>
      </w:r>
      <w:r w:rsidR="00464457" w:rsidRPr="00135D77">
        <w:t xml:space="preserve">8 thousand households </w:t>
      </w:r>
      <w:r w:rsidR="00464457">
        <w:t xml:space="preserve">with </w:t>
      </w:r>
      <w:r w:rsidR="0023220C" w:rsidRPr="00135D77">
        <w:t xml:space="preserve">17 thousand people living </w:t>
      </w:r>
      <w:r w:rsidR="00464457">
        <w:t>in this area (CSO Census 2016)</w:t>
      </w:r>
      <w:r w:rsidR="00332D98" w:rsidRPr="00135D77">
        <w:t xml:space="preserve">. </w:t>
      </w:r>
      <w:r w:rsidR="0096775F">
        <w:t xml:space="preserve">The </w:t>
      </w:r>
      <w:r w:rsidR="0096775F" w:rsidRPr="0039555D">
        <w:rPr>
          <w:b/>
        </w:rPr>
        <w:t>KIN</w:t>
      </w:r>
      <w:r w:rsidR="0096775F">
        <w:t xml:space="preserve"> is a Dublin City Council supported initiative.</w:t>
      </w:r>
    </w:p>
    <w:p w14:paraId="193F5D34" w14:textId="0B555160" w:rsidR="00AB6ECC" w:rsidRDefault="00AB6ECC" w:rsidP="008B64E4"/>
    <w:p w14:paraId="33FA23BF" w14:textId="41404BA5" w:rsidR="00102688" w:rsidRDefault="00102688" w:rsidP="008B64E4">
      <w:r>
        <w:t>Below is a table of suggested amendments:</w:t>
      </w:r>
    </w:p>
    <w:tbl>
      <w:tblPr>
        <w:tblStyle w:val="TableGrid"/>
        <w:tblW w:w="0" w:type="auto"/>
        <w:tblInd w:w="-5" w:type="dxa"/>
        <w:tblLayout w:type="fixed"/>
        <w:tblLook w:val="04A0" w:firstRow="1" w:lastRow="0" w:firstColumn="1" w:lastColumn="0" w:noHBand="0" w:noVBand="1"/>
      </w:tblPr>
      <w:tblGrid>
        <w:gridCol w:w="426"/>
        <w:gridCol w:w="1417"/>
        <w:gridCol w:w="1701"/>
        <w:gridCol w:w="11849"/>
      </w:tblGrid>
      <w:tr w:rsidR="00625B5B" w:rsidRPr="00102688" w14:paraId="3E2944C8" w14:textId="77777777" w:rsidTr="00B36723">
        <w:trPr>
          <w:trHeight w:val="600"/>
        </w:trPr>
        <w:tc>
          <w:tcPr>
            <w:tcW w:w="426" w:type="dxa"/>
          </w:tcPr>
          <w:p w14:paraId="588F4D12" w14:textId="77777777" w:rsidR="00625B5B" w:rsidRPr="00625B5B" w:rsidRDefault="00625B5B">
            <w:pPr>
              <w:rPr>
                <w:b/>
                <w:sz w:val="18"/>
                <w:szCs w:val="18"/>
              </w:rPr>
            </w:pPr>
          </w:p>
        </w:tc>
        <w:tc>
          <w:tcPr>
            <w:tcW w:w="1417" w:type="dxa"/>
          </w:tcPr>
          <w:p w14:paraId="722E3B45" w14:textId="38816F15" w:rsidR="00625B5B" w:rsidRPr="00102688" w:rsidRDefault="00625B5B">
            <w:pPr>
              <w:rPr>
                <w:b/>
              </w:rPr>
            </w:pPr>
            <w:r w:rsidRPr="00102688">
              <w:rPr>
                <w:b/>
              </w:rPr>
              <w:t>Chapter</w:t>
            </w:r>
          </w:p>
        </w:tc>
        <w:tc>
          <w:tcPr>
            <w:tcW w:w="1701" w:type="dxa"/>
          </w:tcPr>
          <w:p w14:paraId="72A4BDA6" w14:textId="1D2B8F7C" w:rsidR="00625B5B" w:rsidRPr="00102688" w:rsidRDefault="00625B5B">
            <w:pPr>
              <w:rPr>
                <w:b/>
              </w:rPr>
            </w:pPr>
            <w:r w:rsidRPr="00102688">
              <w:rPr>
                <w:b/>
              </w:rPr>
              <w:t>Section</w:t>
            </w:r>
          </w:p>
        </w:tc>
        <w:tc>
          <w:tcPr>
            <w:tcW w:w="11849" w:type="dxa"/>
          </w:tcPr>
          <w:p w14:paraId="350C9127" w14:textId="666DD864" w:rsidR="00625B5B" w:rsidRPr="00102688" w:rsidRDefault="00625B5B">
            <w:pPr>
              <w:rPr>
                <w:b/>
              </w:rPr>
            </w:pPr>
            <w:r w:rsidRPr="00102688">
              <w:rPr>
                <w:b/>
              </w:rPr>
              <w:t>Suggested amendment/ clarification sought:</w:t>
            </w:r>
          </w:p>
        </w:tc>
      </w:tr>
      <w:tr w:rsidR="00625B5B" w:rsidRPr="00102688" w14:paraId="7E202C25" w14:textId="77777777" w:rsidTr="00B36723">
        <w:trPr>
          <w:trHeight w:val="600"/>
        </w:trPr>
        <w:tc>
          <w:tcPr>
            <w:tcW w:w="426" w:type="dxa"/>
          </w:tcPr>
          <w:p w14:paraId="09F91CF8" w14:textId="1C45796E" w:rsidR="00625B5B" w:rsidRPr="00625B5B" w:rsidRDefault="00625B5B">
            <w:pPr>
              <w:rPr>
                <w:sz w:val="18"/>
                <w:szCs w:val="18"/>
              </w:rPr>
            </w:pPr>
            <w:r w:rsidRPr="00625B5B">
              <w:rPr>
                <w:sz w:val="18"/>
                <w:szCs w:val="18"/>
              </w:rPr>
              <w:t>1</w:t>
            </w:r>
          </w:p>
        </w:tc>
        <w:tc>
          <w:tcPr>
            <w:tcW w:w="1417" w:type="dxa"/>
            <w:hideMark/>
          </w:tcPr>
          <w:p w14:paraId="72986381" w14:textId="0C8CA095" w:rsidR="00625B5B" w:rsidRPr="00102688" w:rsidRDefault="00625B5B">
            <w:pPr>
              <w:rPr>
                <w:sz w:val="20"/>
                <w:szCs w:val="20"/>
              </w:rPr>
            </w:pPr>
            <w:r w:rsidRPr="00102688">
              <w:rPr>
                <w:sz w:val="20"/>
                <w:szCs w:val="20"/>
              </w:rPr>
              <w:t>2. Core Strategy</w:t>
            </w:r>
          </w:p>
        </w:tc>
        <w:tc>
          <w:tcPr>
            <w:tcW w:w="1701" w:type="dxa"/>
            <w:hideMark/>
          </w:tcPr>
          <w:p w14:paraId="5B2E4060" w14:textId="77777777" w:rsidR="00625B5B" w:rsidRPr="00102688" w:rsidRDefault="00625B5B">
            <w:pPr>
              <w:rPr>
                <w:sz w:val="20"/>
                <w:szCs w:val="20"/>
              </w:rPr>
            </w:pPr>
            <w:r w:rsidRPr="00102688">
              <w:rPr>
                <w:sz w:val="20"/>
                <w:szCs w:val="20"/>
              </w:rPr>
              <w:t>2.3.1 Capacity at SDRA Lands</w:t>
            </w:r>
          </w:p>
        </w:tc>
        <w:tc>
          <w:tcPr>
            <w:tcW w:w="11849" w:type="dxa"/>
            <w:hideMark/>
          </w:tcPr>
          <w:p w14:paraId="566F5AD3" w14:textId="77777777" w:rsidR="008645B9" w:rsidRDefault="00625B5B" w:rsidP="002D2C1C">
            <w:pPr>
              <w:rPr>
                <w:sz w:val="20"/>
                <w:szCs w:val="20"/>
              </w:rPr>
            </w:pPr>
            <w:r w:rsidRPr="008645B9">
              <w:rPr>
                <w:b/>
                <w:sz w:val="20"/>
                <w:szCs w:val="20"/>
              </w:rPr>
              <w:t>SDRA 9 Emmet Road</w:t>
            </w:r>
            <w:r w:rsidRPr="00102688">
              <w:rPr>
                <w:sz w:val="20"/>
                <w:szCs w:val="20"/>
              </w:rPr>
              <w:t xml:space="preserve"> </w:t>
            </w:r>
          </w:p>
          <w:p w14:paraId="41C48C39" w14:textId="638185FD" w:rsidR="008645B9" w:rsidRDefault="008645B9" w:rsidP="002D2C1C">
            <w:pPr>
              <w:rPr>
                <w:sz w:val="20"/>
                <w:szCs w:val="20"/>
              </w:rPr>
            </w:pPr>
            <w:r w:rsidRPr="008645B9">
              <w:rPr>
                <w:i/>
                <w:sz w:val="20"/>
                <w:szCs w:val="20"/>
              </w:rPr>
              <w:t>“</w:t>
            </w:r>
            <w:r w:rsidR="00625B5B" w:rsidRPr="008645B9">
              <w:rPr>
                <w:i/>
                <w:sz w:val="20"/>
                <w:szCs w:val="20"/>
              </w:rPr>
              <w:t xml:space="preserve">estimated capacity 1050 over 15 ha. </w:t>
            </w:r>
            <w:r w:rsidRPr="008645B9">
              <w:rPr>
                <w:i/>
                <w:sz w:val="20"/>
                <w:szCs w:val="20"/>
              </w:rPr>
              <w:t>..”</w:t>
            </w:r>
            <w:r w:rsidR="00625B5B" w:rsidRPr="00102688">
              <w:rPr>
                <w:sz w:val="20"/>
                <w:szCs w:val="20"/>
              </w:rPr>
              <w:t xml:space="preserve"> </w:t>
            </w:r>
            <w:r>
              <w:rPr>
                <w:sz w:val="20"/>
                <w:szCs w:val="20"/>
              </w:rPr>
              <w:t>(pg. 63)</w:t>
            </w:r>
          </w:p>
          <w:p w14:paraId="18688E1A" w14:textId="4C370D37" w:rsidR="00625B5B" w:rsidRPr="00102688" w:rsidRDefault="00625B5B" w:rsidP="002D2C1C">
            <w:pPr>
              <w:rPr>
                <w:sz w:val="20"/>
                <w:szCs w:val="20"/>
              </w:rPr>
            </w:pPr>
            <w:r w:rsidRPr="00102688">
              <w:rPr>
                <w:sz w:val="20"/>
                <w:szCs w:val="20"/>
              </w:rPr>
              <w:t>Query - given that the ERD is expected to have circa 500 units where are the other 550 units expected to be located</w:t>
            </w:r>
            <w:r w:rsidR="002D2C1C">
              <w:rPr>
                <w:sz w:val="20"/>
                <w:szCs w:val="20"/>
              </w:rPr>
              <w:t>?</w:t>
            </w:r>
          </w:p>
        </w:tc>
      </w:tr>
      <w:tr w:rsidR="00625B5B" w:rsidRPr="00102688" w14:paraId="7802DA9B" w14:textId="77777777" w:rsidTr="00B36723">
        <w:trPr>
          <w:trHeight w:val="1200"/>
        </w:trPr>
        <w:tc>
          <w:tcPr>
            <w:tcW w:w="426" w:type="dxa"/>
          </w:tcPr>
          <w:p w14:paraId="0548581A" w14:textId="1581215D" w:rsidR="00625B5B" w:rsidRPr="00625B5B" w:rsidRDefault="00625B5B">
            <w:pPr>
              <w:rPr>
                <w:sz w:val="18"/>
                <w:szCs w:val="18"/>
              </w:rPr>
            </w:pPr>
            <w:r w:rsidRPr="00625B5B">
              <w:rPr>
                <w:sz w:val="18"/>
                <w:szCs w:val="18"/>
              </w:rPr>
              <w:t>2</w:t>
            </w:r>
          </w:p>
        </w:tc>
        <w:tc>
          <w:tcPr>
            <w:tcW w:w="1417" w:type="dxa"/>
            <w:hideMark/>
          </w:tcPr>
          <w:p w14:paraId="334A8A31" w14:textId="34D90959" w:rsidR="00625B5B" w:rsidRPr="00102688" w:rsidRDefault="00625B5B">
            <w:pPr>
              <w:rPr>
                <w:sz w:val="20"/>
                <w:szCs w:val="20"/>
              </w:rPr>
            </w:pPr>
            <w:r w:rsidRPr="00102688">
              <w:rPr>
                <w:sz w:val="20"/>
                <w:szCs w:val="20"/>
              </w:rPr>
              <w:t>8: Sustainable Movement and transport</w:t>
            </w:r>
          </w:p>
        </w:tc>
        <w:tc>
          <w:tcPr>
            <w:tcW w:w="1701" w:type="dxa"/>
            <w:hideMark/>
          </w:tcPr>
          <w:p w14:paraId="4DA4524A" w14:textId="6CC31CBF" w:rsidR="00625B5B" w:rsidRPr="00102688" w:rsidRDefault="00625B5B" w:rsidP="00102688">
            <w:pPr>
              <w:rPr>
                <w:sz w:val="20"/>
                <w:szCs w:val="20"/>
              </w:rPr>
            </w:pPr>
            <w:r w:rsidRPr="00102688">
              <w:rPr>
                <w:sz w:val="20"/>
                <w:szCs w:val="20"/>
              </w:rPr>
              <w:t xml:space="preserve">8.5.9 Street/Road, Bridge and Tunnel Infrastructure - </w:t>
            </w:r>
          </w:p>
        </w:tc>
        <w:tc>
          <w:tcPr>
            <w:tcW w:w="11849" w:type="dxa"/>
            <w:hideMark/>
          </w:tcPr>
          <w:p w14:paraId="0B66CAE6" w14:textId="77777777" w:rsidR="008645B9" w:rsidRDefault="008645B9">
            <w:pPr>
              <w:rPr>
                <w:b/>
                <w:sz w:val="20"/>
                <w:szCs w:val="20"/>
              </w:rPr>
            </w:pPr>
            <w:r>
              <w:rPr>
                <w:b/>
                <w:sz w:val="20"/>
                <w:szCs w:val="20"/>
              </w:rPr>
              <w:t xml:space="preserve">Objective </w:t>
            </w:r>
            <w:r w:rsidR="00625B5B" w:rsidRPr="008645B9">
              <w:rPr>
                <w:b/>
                <w:sz w:val="20"/>
                <w:szCs w:val="20"/>
              </w:rPr>
              <w:t>SMT023 Bridges (pg. 301)</w:t>
            </w:r>
          </w:p>
          <w:p w14:paraId="33F5CE94" w14:textId="668B5C74" w:rsidR="00625B5B" w:rsidRPr="00102688" w:rsidRDefault="00625B5B">
            <w:pPr>
              <w:rPr>
                <w:sz w:val="20"/>
                <w:szCs w:val="20"/>
              </w:rPr>
            </w:pPr>
            <w:r w:rsidRPr="00102688">
              <w:rPr>
                <w:sz w:val="20"/>
                <w:szCs w:val="20"/>
              </w:rPr>
              <w:t xml:space="preserve">Suggested inclusion of (a) bridge over Liffey at Donore Harriers/Liffey Vale Bio Diversity Centre </w:t>
            </w:r>
          </w:p>
        </w:tc>
      </w:tr>
      <w:tr w:rsidR="00625B5B" w:rsidRPr="00102688" w14:paraId="1E1FC444" w14:textId="77777777" w:rsidTr="00B36723">
        <w:trPr>
          <w:trHeight w:val="1200"/>
        </w:trPr>
        <w:tc>
          <w:tcPr>
            <w:tcW w:w="426" w:type="dxa"/>
          </w:tcPr>
          <w:p w14:paraId="1F558AD9" w14:textId="01CD55B4" w:rsidR="00625B5B" w:rsidRPr="00625B5B" w:rsidRDefault="00625B5B">
            <w:pPr>
              <w:rPr>
                <w:sz w:val="18"/>
                <w:szCs w:val="18"/>
              </w:rPr>
            </w:pPr>
            <w:r w:rsidRPr="00625B5B">
              <w:rPr>
                <w:sz w:val="18"/>
                <w:szCs w:val="18"/>
              </w:rPr>
              <w:lastRenderedPageBreak/>
              <w:t>3</w:t>
            </w:r>
          </w:p>
        </w:tc>
        <w:tc>
          <w:tcPr>
            <w:tcW w:w="1417" w:type="dxa"/>
            <w:hideMark/>
          </w:tcPr>
          <w:p w14:paraId="20895A28" w14:textId="43689CD6" w:rsidR="00625B5B" w:rsidRPr="00102688" w:rsidRDefault="00625B5B">
            <w:pPr>
              <w:rPr>
                <w:sz w:val="20"/>
                <w:szCs w:val="20"/>
              </w:rPr>
            </w:pPr>
            <w:r w:rsidRPr="00102688">
              <w:rPr>
                <w:sz w:val="20"/>
                <w:szCs w:val="20"/>
              </w:rPr>
              <w:t>8: Sustainable Movement and transport</w:t>
            </w:r>
          </w:p>
        </w:tc>
        <w:tc>
          <w:tcPr>
            <w:tcW w:w="1701" w:type="dxa"/>
            <w:hideMark/>
          </w:tcPr>
          <w:p w14:paraId="50546F19" w14:textId="6265A05C" w:rsidR="00625B5B" w:rsidRPr="00102688" w:rsidRDefault="00625B5B" w:rsidP="00102688">
            <w:pPr>
              <w:rPr>
                <w:sz w:val="20"/>
                <w:szCs w:val="20"/>
              </w:rPr>
            </w:pPr>
            <w:r w:rsidRPr="00102688">
              <w:rPr>
                <w:sz w:val="20"/>
                <w:szCs w:val="20"/>
              </w:rPr>
              <w:t xml:space="preserve">8.5.9 Street/Road, Bridge and Tunnel Infrastructure - </w:t>
            </w:r>
          </w:p>
        </w:tc>
        <w:tc>
          <w:tcPr>
            <w:tcW w:w="11849" w:type="dxa"/>
            <w:hideMark/>
          </w:tcPr>
          <w:p w14:paraId="661F0220" w14:textId="77777777" w:rsidR="008645B9" w:rsidRDefault="008645B9" w:rsidP="008645B9">
            <w:pPr>
              <w:rPr>
                <w:b/>
                <w:sz w:val="20"/>
                <w:szCs w:val="20"/>
              </w:rPr>
            </w:pPr>
            <w:r>
              <w:rPr>
                <w:b/>
                <w:sz w:val="20"/>
                <w:szCs w:val="20"/>
              </w:rPr>
              <w:t xml:space="preserve">Objective </w:t>
            </w:r>
            <w:r w:rsidR="00625B5B" w:rsidRPr="008645B9">
              <w:rPr>
                <w:b/>
                <w:sz w:val="20"/>
                <w:szCs w:val="20"/>
              </w:rPr>
              <w:t>SMT023 Bridges (pg. 301)</w:t>
            </w:r>
          </w:p>
          <w:p w14:paraId="5236DF42" w14:textId="4F86165C" w:rsidR="00625B5B" w:rsidRPr="00102688" w:rsidRDefault="00625B5B" w:rsidP="008645B9">
            <w:pPr>
              <w:rPr>
                <w:sz w:val="20"/>
                <w:szCs w:val="20"/>
              </w:rPr>
            </w:pPr>
            <w:r w:rsidRPr="00102688">
              <w:rPr>
                <w:sz w:val="20"/>
                <w:szCs w:val="20"/>
              </w:rPr>
              <w:t xml:space="preserve">Suggested inclusion of (b) bridge over Camac linking OPW Kilmainham Gaol and Courthouse to Emmet </w:t>
            </w:r>
            <w:r w:rsidRPr="002D2C1C">
              <w:rPr>
                <w:sz w:val="20"/>
                <w:szCs w:val="20"/>
              </w:rPr>
              <w:t>Road</w:t>
            </w:r>
            <w:r w:rsidR="00C561A1" w:rsidRPr="002D2C1C">
              <w:rPr>
                <w:sz w:val="20"/>
                <w:szCs w:val="20"/>
              </w:rPr>
              <w:t xml:space="preserve"> and on to Richmond Barracks</w:t>
            </w:r>
            <w:r w:rsidRPr="00102688">
              <w:rPr>
                <w:sz w:val="20"/>
                <w:szCs w:val="20"/>
              </w:rPr>
              <w:t xml:space="preserve">.  </w:t>
            </w:r>
            <w:r w:rsidR="002D2C1C">
              <w:rPr>
                <w:sz w:val="20"/>
                <w:szCs w:val="20"/>
              </w:rPr>
              <w:t xml:space="preserve">This was proposed in an OPW commissioned </w:t>
            </w:r>
            <w:r w:rsidR="002D2C1C" w:rsidRPr="002D2C1C">
              <w:rPr>
                <w:i/>
                <w:sz w:val="20"/>
                <w:szCs w:val="20"/>
              </w:rPr>
              <w:t>Kilmainham</w:t>
            </w:r>
            <w:r w:rsidR="002D2C1C">
              <w:rPr>
                <w:i/>
                <w:sz w:val="20"/>
                <w:szCs w:val="20"/>
              </w:rPr>
              <w:t xml:space="preserve"> /</w:t>
            </w:r>
            <w:r w:rsidR="002D2C1C" w:rsidRPr="002D2C1C">
              <w:rPr>
                <w:i/>
                <w:sz w:val="20"/>
                <w:szCs w:val="20"/>
              </w:rPr>
              <w:t xml:space="preserve"> Inchicore Connectivity Study</w:t>
            </w:r>
            <w:r w:rsidR="002D2C1C">
              <w:rPr>
                <w:sz w:val="20"/>
                <w:szCs w:val="20"/>
              </w:rPr>
              <w:t xml:space="preserve"> (by Blackw</w:t>
            </w:r>
            <w:r w:rsidR="00A54CC0">
              <w:rPr>
                <w:sz w:val="20"/>
                <w:szCs w:val="20"/>
              </w:rPr>
              <w:t>ood Associates Architects, 2017).</w:t>
            </w:r>
          </w:p>
        </w:tc>
      </w:tr>
      <w:tr w:rsidR="00180F99" w:rsidRPr="00102688" w14:paraId="36E7E877" w14:textId="77777777" w:rsidTr="00180F99">
        <w:trPr>
          <w:trHeight w:val="1209"/>
        </w:trPr>
        <w:tc>
          <w:tcPr>
            <w:tcW w:w="426" w:type="dxa"/>
          </w:tcPr>
          <w:p w14:paraId="0327C762" w14:textId="45F49DD9" w:rsidR="00180F99" w:rsidRPr="00625B5B" w:rsidRDefault="00D41B96">
            <w:pPr>
              <w:rPr>
                <w:sz w:val="18"/>
                <w:szCs w:val="18"/>
              </w:rPr>
            </w:pPr>
            <w:r>
              <w:rPr>
                <w:sz w:val="18"/>
                <w:szCs w:val="18"/>
              </w:rPr>
              <w:t>4</w:t>
            </w:r>
          </w:p>
        </w:tc>
        <w:tc>
          <w:tcPr>
            <w:tcW w:w="1417" w:type="dxa"/>
          </w:tcPr>
          <w:p w14:paraId="2818AD68" w14:textId="00B8BE65" w:rsidR="00180F99" w:rsidRPr="00102688" w:rsidRDefault="00180F99">
            <w:pPr>
              <w:rPr>
                <w:sz w:val="20"/>
                <w:szCs w:val="20"/>
              </w:rPr>
            </w:pPr>
            <w:r w:rsidRPr="00102688">
              <w:rPr>
                <w:sz w:val="20"/>
                <w:szCs w:val="20"/>
              </w:rPr>
              <w:t>10: Green Infrastructure and Recreation</w:t>
            </w:r>
          </w:p>
        </w:tc>
        <w:tc>
          <w:tcPr>
            <w:tcW w:w="1701" w:type="dxa"/>
          </w:tcPr>
          <w:p w14:paraId="55C1281A" w14:textId="07E4D0F9" w:rsidR="00180F99" w:rsidRPr="00102688" w:rsidRDefault="00180F99">
            <w:pPr>
              <w:rPr>
                <w:sz w:val="20"/>
                <w:szCs w:val="20"/>
              </w:rPr>
            </w:pPr>
            <w:r w:rsidRPr="00180F99">
              <w:rPr>
                <w:sz w:val="20"/>
                <w:szCs w:val="20"/>
                <w:lang w:val="en-IE"/>
              </w:rPr>
              <w:t xml:space="preserve">10.5.1 Policies and Objectives – </w:t>
            </w:r>
            <w:r w:rsidRPr="005F4FDB">
              <w:rPr>
                <w:b/>
                <w:sz w:val="20"/>
                <w:szCs w:val="20"/>
                <w:lang w:val="en-IE"/>
              </w:rPr>
              <w:t>Green Infrastructure</w:t>
            </w:r>
          </w:p>
        </w:tc>
        <w:tc>
          <w:tcPr>
            <w:tcW w:w="11849" w:type="dxa"/>
          </w:tcPr>
          <w:p w14:paraId="76E9D5D2" w14:textId="6F08CDD2" w:rsidR="00180F99" w:rsidRPr="00180F99" w:rsidRDefault="00180F99" w:rsidP="00180F99">
            <w:pPr>
              <w:rPr>
                <w:b/>
                <w:bCs/>
                <w:sz w:val="20"/>
                <w:szCs w:val="20"/>
              </w:rPr>
            </w:pPr>
            <w:r w:rsidRPr="00180F99">
              <w:rPr>
                <w:b/>
                <w:bCs/>
                <w:sz w:val="20"/>
                <w:szCs w:val="20"/>
              </w:rPr>
              <w:t>Policy GI3 Multi-fu</w:t>
            </w:r>
            <w:r>
              <w:rPr>
                <w:b/>
                <w:bCs/>
                <w:sz w:val="20"/>
                <w:szCs w:val="20"/>
              </w:rPr>
              <w:t>n</w:t>
            </w:r>
            <w:r w:rsidRPr="00180F99">
              <w:rPr>
                <w:b/>
                <w:bCs/>
                <w:sz w:val="20"/>
                <w:szCs w:val="20"/>
              </w:rPr>
              <w:t>ctionality</w:t>
            </w:r>
            <w:r w:rsidR="008645B9">
              <w:rPr>
                <w:b/>
                <w:bCs/>
                <w:sz w:val="20"/>
                <w:szCs w:val="20"/>
              </w:rPr>
              <w:t xml:space="preserve"> (pg. 358)</w:t>
            </w:r>
          </w:p>
          <w:p w14:paraId="6E2C5C90" w14:textId="43BBE152" w:rsidR="00180F99" w:rsidRPr="00102688" w:rsidRDefault="00180F99" w:rsidP="00180F99">
            <w:pPr>
              <w:rPr>
                <w:sz w:val="20"/>
                <w:szCs w:val="20"/>
              </w:rPr>
            </w:pPr>
            <w:r>
              <w:rPr>
                <w:bCs/>
                <w:sz w:val="20"/>
                <w:szCs w:val="20"/>
                <w:lang w:val="en-IE"/>
              </w:rPr>
              <w:t>KIN</w:t>
            </w:r>
            <w:r w:rsidRPr="00180F99">
              <w:rPr>
                <w:bCs/>
                <w:sz w:val="20"/>
                <w:szCs w:val="20"/>
                <w:lang w:val="en-IE"/>
              </w:rPr>
              <w:t xml:space="preserve"> proposes that </w:t>
            </w:r>
            <w:r w:rsidRPr="00180F99">
              <w:rPr>
                <w:bCs/>
                <w:i/>
                <w:sz w:val="20"/>
                <w:szCs w:val="20"/>
                <w:lang w:val="en-IE"/>
              </w:rPr>
              <w:t>‘Promote active and passive recreation’</w:t>
            </w:r>
            <w:r w:rsidRPr="00180F99">
              <w:rPr>
                <w:bCs/>
                <w:sz w:val="20"/>
                <w:szCs w:val="20"/>
                <w:lang w:val="en-IE"/>
              </w:rPr>
              <w:t xml:space="preserve"> needs to include the term </w:t>
            </w:r>
            <w:r w:rsidRPr="00180F99">
              <w:rPr>
                <w:bCs/>
                <w:i/>
                <w:sz w:val="20"/>
                <w:szCs w:val="20"/>
                <w:u w:val="single"/>
                <w:lang w:val="en-IE"/>
              </w:rPr>
              <w:t>team sports</w:t>
            </w:r>
            <w:r w:rsidRPr="00180F99">
              <w:rPr>
                <w:bCs/>
                <w:sz w:val="20"/>
                <w:szCs w:val="20"/>
                <w:lang w:val="en-IE"/>
              </w:rPr>
              <w:t xml:space="preserve">, which conveys the amount of land needed for active TEAM sports. The terms active and passive recreation are too vague, and the size of 90m by 140m needs to be specified for active ‘team sports’ on ‘community sports pitches’. A MUGA is not big enough to provide for the socially rich activity of organised team sports, which promotes social bonds, passive surveillance and social cohesion. </w:t>
            </w:r>
          </w:p>
        </w:tc>
      </w:tr>
      <w:tr w:rsidR="00180F99" w:rsidRPr="00102688" w14:paraId="208F54CD" w14:textId="77777777" w:rsidTr="00B36723">
        <w:trPr>
          <w:trHeight w:val="1500"/>
        </w:trPr>
        <w:tc>
          <w:tcPr>
            <w:tcW w:w="426" w:type="dxa"/>
          </w:tcPr>
          <w:p w14:paraId="1CB3CFFF" w14:textId="477388B7" w:rsidR="00180F99" w:rsidRPr="00625B5B" w:rsidRDefault="00D41B96">
            <w:pPr>
              <w:rPr>
                <w:sz w:val="18"/>
                <w:szCs w:val="18"/>
              </w:rPr>
            </w:pPr>
            <w:r>
              <w:rPr>
                <w:sz w:val="18"/>
                <w:szCs w:val="18"/>
              </w:rPr>
              <w:t>5</w:t>
            </w:r>
          </w:p>
        </w:tc>
        <w:tc>
          <w:tcPr>
            <w:tcW w:w="1417" w:type="dxa"/>
          </w:tcPr>
          <w:p w14:paraId="393F28CD" w14:textId="166B25B5" w:rsidR="00180F99" w:rsidRPr="00102688" w:rsidRDefault="00180F99">
            <w:pPr>
              <w:rPr>
                <w:sz w:val="20"/>
                <w:szCs w:val="20"/>
              </w:rPr>
            </w:pPr>
            <w:r w:rsidRPr="00102688">
              <w:rPr>
                <w:sz w:val="20"/>
                <w:szCs w:val="20"/>
              </w:rPr>
              <w:t>10: Green Infrastructure and Recreation</w:t>
            </w:r>
          </w:p>
        </w:tc>
        <w:tc>
          <w:tcPr>
            <w:tcW w:w="1701" w:type="dxa"/>
          </w:tcPr>
          <w:p w14:paraId="470D1F08" w14:textId="689E8623" w:rsidR="00180F99" w:rsidRPr="00102688" w:rsidRDefault="00180F99">
            <w:pPr>
              <w:rPr>
                <w:sz w:val="20"/>
                <w:szCs w:val="20"/>
              </w:rPr>
            </w:pPr>
            <w:r w:rsidRPr="00180F99">
              <w:rPr>
                <w:sz w:val="20"/>
                <w:szCs w:val="20"/>
                <w:lang w:val="en-IE"/>
              </w:rPr>
              <w:t xml:space="preserve">10.5.1 Policies and Objectives – </w:t>
            </w:r>
            <w:r w:rsidRPr="005F4FDB">
              <w:rPr>
                <w:b/>
                <w:sz w:val="20"/>
                <w:szCs w:val="20"/>
                <w:lang w:val="en-IE"/>
              </w:rPr>
              <w:t>Green Infrastructure</w:t>
            </w:r>
          </w:p>
        </w:tc>
        <w:tc>
          <w:tcPr>
            <w:tcW w:w="11849" w:type="dxa"/>
          </w:tcPr>
          <w:p w14:paraId="7EA94F12" w14:textId="0CFBB671" w:rsidR="00180F99" w:rsidRDefault="00180F99" w:rsidP="00180F99">
            <w:pPr>
              <w:rPr>
                <w:b/>
                <w:bCs/>
                <w:sz w:val="20"/>
                <w:szCs w:val="20"/>
                <w:lang w:val="en-IE"/>
              </w:rPr>
            </w:pPr>
            <w:r w:rsidRPr="00180F99">
              <w:rPr>
                <w:b/>
                <w:bCs/>
                <w:sz w:val="20"/>
                <w:szCs w:val="20"/>
                <w:lang w:val="en-IE"/>
              </w:rPr>
              <w:t>Policy GI</w:t>
            </w:r>
            <w:r>
              <w:rPr>
                <w:b/>
                <w:bCs/>
                <w:sz w:val="20"/>
                <w:szCs w:val="20"/>
                <w:lang w:val="en-IE"/>
              </w:rPr>
              <w:t xml:space="preserve">4 </w:t>
            </w:r>
            <w:r w:rsidR="005F4FDB">
              <w:rPr>
                <w:b/>
                <w:bCs/>
                <w:sz w:val="20"/>
                <w:szCs w:val="20"/>
                <w:lang w:val="en-IE"/>
              </w:rPr>
              <w:t xml:space="preserve">– </w:t>
            </w:r>
            <w:r>
              <w:rPr>
                <w:b/>
                <w:bCs/>
                <w:sz w:val="20"/>
                <w:szCs w:val="20"/>
                <w:lang w:val="en-IE"/>
              </w:rPr>
              <w:t>Accessibility</w:t>
            </w:r>
            <w:r w:rsidR="008645B9">
              <w:rPr>
                <w:b/>
                <w:bCs/>
                <w:sz w:val="20"/>
                <w:szCs w:val="20"/>
                <w:lang w:val="en-IE"/>
              </w:rPr>
              <w:t xml:space="preserve"> (pg. 358)</w:t>
            </w:r>
          </w:p>
          <w:p w14:paraId="265F3C99" w14:textId="64B8EF7D" w:rsidR="005F4FDB" w:rsidRPr="005F4FDB" w:rsidRDefault="005F4FDB" w:rsidP="00180F99">
            <w:pPr>
              <w:rPr>
                <w:bCs/>
                <w:i/>
                <w:sz w:val="20"/>
                <w:szCs w:val="20"/>
                <w:lang w:val="en-IE"/>
              </w:rPr>
            </w:pPr>
            <w:r w:rsidRPr="005F4FDB">
              <w:rPr>
                <w:bCs/>
                <w:i/>
                <w:sz w:val="20"/>
                <w:szCs w:val="20"/>
                <w:lang w:val="en-IE"/>
              </w:rPr>
              <w:t>“To ensure universal design for access for all to the green infrastructure network.  Priority of access is to be given to pedestrians over all other users.  In line with the Parks Strategy, access to facilities and to public parks and open spaces will be provided equally to all citizens and inequalities of access shall be identified and addressed</w:t>
            </w:r>
            <w:r w:rsidR="0083171A">
              <w:rPr>
                <w:bCs/>
                <w:i/>
                <w:sz w:val="20"/>
                <w:szCs w:val="20"/>
                <w:lang w:val="en-IE"/>
              </w:rPr>
              <w:t>.</w:t>
            </w:r>
            <w:r w:rsidRPr="005F4FDB">
              <w:rPr>
                <w:bCs/>
                <w:i/>
                <w:sz w:val="20"/>
                <w:szCs w:val="20"/>
                <w:lang w:val="en-IE"/>
              </w:rPr>
              <w:t xml:space="preserve">” (pg. 358) </w:t>
            </w:r>
          </w:p>
          <w:p w14:paraId="5DBDE899" w14:textId="1A772C38" w:rsidR="00180F99" w:rsidRPr="00180F99" w:rsidRDefault="00180F99" w:rsidP="00180F99">
            <w:pPr>
              <w:rPr>
                <w:sz w:val="20"/>
                <w:szCs w:val="20"/>
              </w:rPr>
            </w:pPr>
            <w:r w:rsidRPr="00180F99">
              <w:rPr>
                <w:sz w:val="20"/>
                <w:szCs w:val="20"/>
              </w:rPr>
              <w:t xml:space="preserve">KIN believe that this Policy is too vague.  </w:t>
            </w:r>
          </w:p>
          <w:p w14:paraId="5D6C5896" w14:textId="468C21F5" w:rsidR="00180F99" w:rsidRPr="00102688" w:rsidRDefault="00180F99" w:rsidP="00180F99">
            <w:pPr>
              <w:rPr>
                <w:sz w:val="20"/>
                <w:szCs w:val="20"/>
              </w:rPr>
            </w:pPr>
            <w:r w:rsidRPr="00180F99">
              <w:rPr>
                <w:sz w:val="20"/>
                <w:szCs w:val="20"/>
              </w:rPr>
              <w:t xml:space="preserve">The Disability Act 2005 requires that all public bodies provide EQUAL access to their services and publicly owned/managed property.  Inequalities of access need to specify the legally defined groups of 10 protected grounds - as set out in the Equal Status Act 2014 and translated into public sector policy with the Public Sector Duty. ‘All’ is too vague a term, and NGO’s/charities for LGBTQI, women, wheelchair users, Travellers, single parents etc. need to be consulted on design. One issue is clear stemmed trees, which may clash with ideas about bushes needed for biodiversity. Also Travellers and some other cultural groups may visit parks in large intergenerational family groups, wheelchair users needing parking, removal of kissing gates. Toilets are a key issue when spending time in green spaces for people with medical conditions, small children and some pregnant women. Toilet facilities need to be planned for as an equality issue. Further reference to more information on implementation of the Public Sector Duty which is a statutory duty of Dublin City Council.  </w:t>
            </w:r>
            <w:hyperlink r:id="rId10" w:history="1">
              <w:r w:rsidRPr="00180F99">
                <w:rPr>
                  <w:rStyle w:val="Hyperlink"/>
                  <w:sz w:val="20"/>
                  <w:szCs w:val="20"/>
                </w:rPr>
                <w:t>https://www.ihrec.ie/app/uploads/2019/03/IHREC_Public_Sector_Duty_Final_Eng_WEB.pdf</w:t>
              </w:r>
            </w:hyperlink>
            <w:r>
              <w:rPr>
                <w:sz w:val="22"/>
                <w:szCs w:val="22"/>
                <w:u w:val="single"/>
              </w:rPr>
              <w:t xml:space="preserve"> </w:t>
            </w:r>
          </w:p>
        </w:tc>
      </w:tr>
      <w:tr w:rsidR="00A11D8A" w:rsidRPr="00102688" w14:paraId="7A0D9AC4" w14:textId="77777777" w:rsidTr="00B36723">
        <w:trPr>
          <w:trHeight w:val="1500"/>
        </w:trPr>
        <w:tc>
          <w:tcPr>
            <w:tcW w:w="426" w:type="dxa"/>
          </w:tcPr>
          <w:p w14:paraId="7D045477" w14:textId="61EE8185" w:rsidR="00A11D8A" w:rsidRPr="00625B5B" w:rsidRDefault="00D41B96">
            <w:pPr>
              <w:rPr>
                <w:sz w:val="18"/>
                <w:szCs w:val="18"/>
              </w:rPr>
            </w:pPr>
            <w:r>
              <w:rPr>
                <w:sz w:val="18"/>
                <w:szCs w:val="18"/>
              </w:rPr>
              <w:t>6</w:t>
            </w:r>
          </w:p>
        </w:tc>
        <w:tc>
          <w:tcPr>
            <w:tcW w:w="1417" w:type="dxa"/>
          </w:tcPr>
          <w:p w14:paraId="2A294F2B" w14:textId="46AFE475" w:rsidR="00A11D8A" w:rsidRPr="00102688" w:rsidRDefault="00A11D8A">
            <w:pPr>
              <w:rPr>
                <w:sz w:val="20"/>
                <w:szCs w:val="20"/>
              </w:rPr>
            </w:pPr>
            <w:r w:rsidRPr="00102688">
              <w:rPr>
                <w:sz w:val="20"/>
                <w:szCs w:val="20"/>
              </w:rPr>
              <w:t>10: Green Infrastructure and Recreation</w:t>
            </w:r>
          </w:p>
        </w:tc>
        <w:tc>
          <w:tcPr>
            <w:tcW w:w="1701" w:type="dxa"/>
          </w:tcPr>
          <w:p w14:paraId="0DCEFADE" w14:textId="66524262" w:rsidR="00A11D8A" w:rsidRPr="00102688" w:rsidRDefault="00A11D8A">
            <w:pPr>
              <w:rPr>
                <w:sz w:val="20"/>
                <w:szCs w:val="20"/>
              </w:rPr>
            </w:pPr>
            <w:r w:rsidRPr="00180F99">
              <w:rPr>
                <w:sz w:val="20"/>
                <w:szCs w:val="20"/>
                <w:lang w:val="en-IE"/>
              </w:rPr>
              <w:t xml:space="preserve">10.5.1 Policies and Objectives – </w:t>
            </w:r>
            <w:r w:rsidRPr="005F4FDB">
              <w:rPr>
                <w:b/>
                <w:sz w:val="20"/>
                <w:szCs w:val="20"/>
                <w:lang w:val="en-IE"/>
              </w:rPr>
              <w:t>Green Infrastructure</w:t>
            </w:r>
          </w:p>
        </w:tc>
        <w:tc>
          <w:tcPr>
            <w:tcW w:w="11849" w:type="dxa"/>
          </w:tcPr>
          <w:p w14:paraId="682B9500" w14:textId="4F4C80C6" w:rsidR="00A11D8A" w:rsidRDefault="00A11D8A" w:rsidP="00A11D8A">
            <w:pPr>
              <w:rPr>
                <w:b/>
                <w:sz w:val="20"/>
                <w:szCs w:val="20"/>
                <w:lang w:val="en-IE"/>
              </w:rPr>
            </w:pPr>
            <w:r w:rsidRPr="00A11D8A">
              <w:rPr>
                <w:b/>
                <w:sz w:val="20"/>
                <w:szCs w:val="20"/>
                <w:lang w:val="en-IE"/>
              </w:rPr>
              <w:t xml:space="preserve">Policy G16 </w:t>
            </w:r>
            <w:r w:rsidR="005F4FDB">
              <w:rPr>
                <w:b/>
                <w:sz w:val="20"/>
                <w:szCs w:val="20"/>
                <w:lang w:val="en-IE"/>
              </w:rPr>
              <w:t xml:space="preserve">- </w:t>
            </w:r>
            <w:r w:rsidRPr="00A11D8A">
              <w:rPr>
                <w:b/>
                <w:sz w:val="20"/>
                <w:szCs w:val="20"/>
                <w:lang w:val="en-IE"/>
              </w:rPr>
              <w:t>New Development/New Growth Areas</w:t>
            </w:r>
            <w:r w:rsidR="008645B9">
              <w:rPr>
                <w:b/>
                <w:sz w:val="20"/>
                <w:szCs w:val="20"/>
                <w:lang w:val="en-IE"/>
              </w:rPr>
              <w:t xml:space="preserve"> (pg. 358)</w:t>
            </w:r>
          </w:p>
          <w:p w14:paraId="4AFD7DA1" w14:textId="7DE43109" w:rsidR="005F4FDB" w:rsidRPr="005F4FDB" w:rsidRDefault="005F4FDB" w:rsidP="00A11D8A">
            <w:pPr>
              <w:rPr>
                <w:i/>
                <w:sz w:val="20"/>
                <w:szCs w:val="20"/>
                <w:lang w:val="en-IE"/>
              </w:rPr>
            </w:pPr>
            <w:r w:rsidRPr="005F4FDB">
              <w:rPr>
                <w:i/>
                <w:sz w:val="20"/>
                <w:szCs w:val="20"/>
                <w:lang w:val="en-IE"/>
              </w:rPr>
              <w:t>“To integrate Green Infrastructure and an ecosystem services approach into new developments / new growth areas in the city that contribute to the city’s green infrastructure network by its extension and enhancement and that provides for the environmental resilience of new development” (pg. 358)</w:t>
            </w:r>
          </w:p>
          <w:p w14:paraId="587ACCBF" w14:textId="5CA9A3ED" w:rsidR="00A11D8A" w:rsidRPr="00102688" w:rsidRDefault="00A11D8A" w:rsidP="00A11D8A">
            <w:pPr>
              <w:rPr>
                <w:sz w:val="20"/>
                <w:szCs w:val="20"/>
              </w:rPr>
            </w:pPr>
            <w:r>
              <w:rPr>
                <w:sz w:val="20"/>
                <w:szCs w:val="20"/>
                <w:lang w:val="en-IE"/>
              </w:rPr>
              <w:t xml:space="preserve">KIN </w:t>
            </w:r>
            <w:r w:rsidRPr="00A11D8A">
              <w:rPr>
                <w:sz w:val="20"/>
                <w:szCs w:val="20"/>
                <w:lang w:val="en-IE"/>
              </w:rPr>
              <w:t>believe</w:t>
            </w:r>
            <w:r>
              <w:rPr>
                <w:sz w:val="20"/>
                <w:szCs w:val="20"/>
                <w:lang w:val="en-IE"/>
              </w:rPr>
              <w:t xml:space="preserve"> that it is not clear what a</w:t>
            </w:r>
            <w:r w:rsidRPr="00A11D8A">
              <w:rPr>
                <w:sz w:val="20"/>
                <w:szCs w:val="20"/>
                <w:lang w:val="en-IE"/>
              </w:rPr>
              <w:t xml:space="preserve">n </w:t>
            </w:r>
            <w:r>
              <w:rPr>
                <w:sz w:val="20"/>
                <w:szCs w:val="20"/>
                <w:lang w:val="en-IE"/>
              </w:rPr>
              <w:t>“</w:t>
            </w:r>
            <w:r w:rsidRPr="00A11D8A">
              <w:rPr>
                <w:i/>
                <w:sz w:val="20"/>
                <w:szCs w:val="20"/>
                <w:lang w:val="en-IE"/>
              </w:rPr>
              <w:t>ecosystem services approach</w:t>
            </w:r>
            <w:r>
              <w:rPr>
                <w:i/>
                <w:sz w:val="20"/>
                <w:szCs w:val="20"/>
                <w:lang w:val="en-IE"/>
              </w:rPr>
              <w:t>”</w:t>
            </w:r>
            <w:r w:rsidRPr="00A11D8A">
              <w:rPr>
                <w:sz w:val="20"/>
                <w:szCs w:val="20"/>
                <w:lang w:val="en-IE"/>
              </w:rPr>
              <w:t xml:space="preserve"> is? Is this</w:t>
            </w:r>
            <w:r>
              <w:rPr>
                <w:sz w:val="20"/>
                <w:szCs w:val="20"/>
                <w:lang w:val="en-IE"/>
              </w:rPr>
              <w:t>,</w:t>
            </w:r>
            <w:r w:rsidRPr="00A11D8A">
              <w:rPr>
                <w:sz w:val="20"/>
                <w:szCs w:val="20"/>
                <w:lang w:val="en-IE"/>
              </w:rPr>
              <w:t xml:space="preserve"> for example</w:t>
            </w:r>
            <w:r>
              <w:rPr>
                <w:sz w:val="20"/>
                <w:szCs w:val="20"/>
                <w:lang w:val="en-IE"/>
              </w:rPr>
              <w:t>,</w:t>
            </w:r>
            <w:r w:rsidRPr="00A11D8A">
              <w:rPr>
                <w:sz w:val="20"/>
                <w:szCs w:val="20"/>
                <w:lang w:val="en-IE"/>
              </w:rPr>
              <w:t xml:space="preserve"> a bee/pollinator ecosystem designed for in planting in new developments? </w:t>
            </w:r>
            <w:r>
              <w:rPr>
                <w:i/>
                <w:sz w:val="20"/>
                <w:szCs w:val="20"/>
                <w:lang w:val="en-IE"/>
              </w:rPr>
              <w:t>Ecosystem</w:t>
            </w:r>
            <w:r w:rsidRPr="00A11D8A">
              <w:rPr>
                <w:i/>
                <w:sz w:val="20"/>
                <w:szCs w:val="20"/>
                <w:lang w:val="en-IE"/>
              </w:rPr>
              <w:t xml:space="preserve"> services approach</w:t>
            </w:r>
            <w:r w:rsidRPr="00A11D8A">
              <w:rPr>
                <w:sz w:val="20"/>
                <w:szCs w:val="20"/>
                <w:lang w:val="en-IE"/>
              </w:rPr>
              <w:t xml:space="preserve"> seems a bit vague, which could mean it cannot be measured and then will not be implemented. Eco systems are legislated for in the EU Directive and the wording of the strategy document needs to be more precise in order to be implemented and clearly understood by operations managers. The wording of the strategy needs to use the terms from the Directive in order to precisely implement the Directive. A written checklist would help with precise implementation of the Directive in new developments. </w:t>
            </w:r>
          </w:p>
        </w:tc>
      </w:tr>
      <w:tr w:rsidR="00996082" w:rsidRPr="00102688" w14:paraId="2099377D" w14:textId="77777777" w:rsidTr="00B36723">
        <w:trPr>
          <w:trHeight w:val="1500"/>
        </w:trPr>
        <w:tc>
          <w:tcPr>
            <w:tcW w:w="426" w:type="dxa"/>
          </w:tcPr>
          <w:p w14:paraId="71E39A1C" w14:textId="5838EE4B" w:rsidR="00996082" w:rsidRPr="00625B5B" w:rsidRDefault="00D41B96">
            <w:pPr>
              <w:rPr>
                <w:sz w:val="18"/>
                <w:szCs w:val="18"/>
              </w:rPr>
            </w:pPr>
            <w:r>
              <w:rPr>
                <w:sz w:val="18"/>
                <w:szCs w:val="18"/>
              </w:rPr>
              <w:t>7</w:t>
            </w:r>
          </w:p>
        </w:tc>
        <w:tc>
          <w:tcPr>
            <w:tcW w:w="1417" w:type="dxa"/>
          </w:tcPr>
          <w:p w14:paraId="439C2533" w14:textId="25265B0A" w:rsidR="00996082" w:rsidRPr="00102688" w:rsidRDefault="00996082">
            <w:pPr>
              <w:rPr>
                <w:sz w:val="20"/>
                <w:szCs w:val="20"/>
              </w:rPr>
            </w:pPr>
            <w:r w:rsidRPr="00996082">
              <w:rPr>
                <w:sz w:val="20"/>
                <w:szCs w:val="20"/>
                <w:lang w:val="en-IE"/>
              </w:rPr>
              <w:t>10: Green Infrastructure and Recreation</w:t>
            </w:r>
          </w:p>
        </w:tc>
        <w:tc>
          <w:tcPr>
            <w:tcW w:w="1701" w:type="dxa"/>
          </w:tcPr>
          <w:p w14:paraId="584BE746" w14:textId="230CFFD0" w:rsidR="00996082" w:rsidRPr="00102688" w:rsidRDefault="00996082">
            <w:pPr>
              <w:rPr>
                <w:sz w:val="20"/>
                <w:szCs w:val="20"/>
              </w:rPr>
            </w:pPr>
            <w:r>
              <w:rPr>
                <w:sz w:val="20"/>
                <w:szCs w:val="20"/>
              </w:rPr>
              <w:t xml:space="preserve">10.5.2 Policies and Objectives - </w:t>
            </w:r>
            <w:r w:rsidRPr="005F4FDB">
              <w:rPr>
                <w:b/>
                <w:sz w:val="20"/>
                <w:szCs w:val="20"/>
              </w:rPr>
              <w:t>Bio Diversity</w:t>
            </w:r>
          </w:p>
        </w:tc>
        <w:tc>
          <w:tcPr>
            <w:tcW w:w="11849" w:type="dxa"/>
          </w:tcPr>
          <w:p w14:paraId="1F46324C" w14:textId="07941FD2" w:rsidR="00996082" w:rsidRPr="00996082" w:rsidRDefault="008645B9">
            <w:pPr>
              <w:rPr>
                <w:b/>
                <w:sz w:val="20"/>
                <w:szCs w:val="20"/>
                <w:lang w:val="en-IE"/>
              </w:rPr>
            </w:pPr>
            <w:r>
              <w:rPr>
                <w:b/>
                <w:sz w:val="20"/>
                <w:szCs w:val="20"/>
                <w:lang w:val="en-IE"/>
              </w:rPr>
              <w:t>Policies GI9 - GI</w:t>
            </w:r>
            <w:r w:rsidR="00E95377">
              <w:rPr>
                <w:b/>
                <w:sz w:val="20"/>
                <w:szCs w:val="20"/>
                <w:lang w:val="en-IE"/>
              </w:rPr>
              <w:t>18 and Objectives GI</w:t>
            </w:r>
            <w:r>
              <w:rPr>
                <w:b/>
                <w:sz w:val="20"/>
                <w:szCs w:val="20"/>
                <w:lang w:val="en-IE"/>
              </w:rPr>
              <w:t>07 - GI</w:t>
            </w:r>
            <w:r w:rsidR="00996082" w:rsidRPr="00996082">
              <w:rPr>
                <w:b/>
                <w:sz w:val="20"/>
                <w:szCs w:val="20"/>
                <w:lang w:val="en-IE"/>
              </w:rPr>
              <w:t>014</w:t>
            </w:r>
            <w:r>
              <w:rPr>
                <w:b/>
                <w:sz w:val="20"/>
                <w:szCs w:val="20"/>
                <w:lang w:val="en-IE"/>
              </w:rPr>
              <w:t xml:space="preserve"> (pg. 362-4)</w:t>
            </w:r>
          </w:p>
          <w:p w14:paraId="3F4E924A" w14:textId="4D45C377" w:rsidR="00996082" w:rsidRPr="00996082" w:rsidRDefault="00996082" w:rsidP="00996082">
            <w:pPr>
              <w:rPr>
                <w:i/>
                <w:sz w:val="20"/>
                <w:szCs w:val="20"/>
                <w:lang w:val="en-IE"/>
              </w:rPr>
            </w:pPr>
            <w:r>
              <w:rPr>
                <w:sz w:val="20"/>
                <w:szCs w:val="20"/>
                <w:lang w:val="en-IE"/>
              </w:rPr>
              <w:t>T</w:t>
            </w:r>
            <w:r w:rsidRPr="00996082">
              <w:rPr>
                <w:sz w:val="20"/>
                <w:szCs w:val="20"/>
                <w:lang w:val="en-IE"/>
              </w:rPr>
              <w:t xml:space="preserve">he statement in </w:t>
            </w:r>
            <w:r>
              <w:rPr>
                <w:sz w:val="20"/>
                <w:szCs w:val="20"/>
                <w:lang w:val="en-IE"/>
              </w:rPr>
              <w:t xml:space="preserve">section </w:t>
            </w:r>
            <w:r w:rsidRPr="00996082">
              <w:rPr>
                <w:sz w:val="20"/>
                <w:szCs w:val="20"/>
                <w:lang w:val="en-IE"/>
              </w:rPr>
              <w:t xml:space="preserve">10.2 </w:t>
            </w:r>
            <w:r>
              <w:rPr>
                <w:sz w:val="20"/>
                <w:szCs w:val="20"/>
                <w:lang w:val="en-IE"/>
              </w:rPr>
              <w:t>Achievements  that</w:t>
            </w:r>
            <w:r w:rsidRPr="00996082">
              <w:rPr>
                <w:sz w:val="20"/>
                <w:szCs w:val="20"/>
                <w:lang w:val="en-IE"/>
              </w:rPr>
              <w:t xml:space="preserve"> </w:t>
            </w:r>
            <w:r>
              <w:rPr>
                <w:sz w:val="20"/>
                <w:szCs w:val="20"/>
                <w:lang w:val="en-IE"/>
              </w:rPr>
              <w:t>“</w:t>
            </w:r>
            <w:r w:rsidRPr="00996082">
              <w:rPr>
                <w:i/>
                <w:sz w:val="20"/>
                <w:szCs w:val="20"/>
                <w:lang w:val="en-IE"/>
              </w:rPr>
              <w:t>Dublin City Council was one of the first local authorities in the Republic of Ireland to sign up to the ‘All Ireland Pollinator Plan’ (2015-2020), following on from initiatives over the previous ten years to create</w:t>
            </w:r>
            <w:r>
              <w:rPr>
                <w:i/>
                <w:sz w:val="20"/>
                <w:szCs w:val="20"/>
                <w:lang w:val="en-IE"/>
              </w:rPr>
              <w:t xml:space="preserve"> </w:t>
            </w:r>
            <w:r w:rsidRPr="00996082">
              <w:rPr>
                <w:i/>
                <w:sz w:val="20"/>
                <w:szCs w:val="20"/>
                <w:lang w:val="en-IE"/>
              </w:rPr>
              <w:t>wild</w:t>
            </w:r>
            <w:r>
              <w:rPr>
                <w:i/>
                <w:sz w:val="20"/>
                <w:szCs w:val="20"/>
                <w:lang w:val="en-IE"/>
              </w:rPr>
              <w:t xml:space="preserve"> </w:t>
            </w:r>
            <w:r w:rsidRPr="00996082">
              <w:rPr>
                <w:i/>
                <w:sz w:val="20"/>
                <w:szCs w:val="20"/>
                <w:lang w:val="en-IE"/>
              </w:rPr>
              <w:t xml:space="preserve">flower meadows. This has been supported by the gradual ‘wilding’ of parks, road verges and graveyards in order to provide habitat and food for insects and pollinators and through significant changes to planting schemes, which are now comprised of 80% of pollinator-friendly plants, changes in mowing cycles </w:t>
            </w:r>
            <w:r w:rsidRPr="00996082">
              <w:rPr>
                <w:i/>
                <w:sz w:val="20"/>
                <w:szCs w:val="20"/>
                <w:lang w:val="en-IE"/>
              </w:rPr>
              <w:lastRenderedPageBreak/>
              <w:t>and the elimination of glyphosates from green space management. This work has been brought to the public’s attention through information campaigns and signage with the ‘Leave Them Bee’ tagline</w:t>
            </w:r>
            <w:r>
              <w:rPr>
                <w:i/>
                <w:sz w:val="20"/>
                <w:szCs w:val="20"/>
                <w:lang w:val="en-IE"/>
              </w:rPr>
              <w:t>”</w:t>
            </w:r>
            <w:r>
              <w:rPr>
                <w:sz w:val="20"/>
                <w:szCs w:val="20"/>
                <w:lang w:val="en-IE"/>
              </w:rPr>
              <w:t xml:space="preserve"> (pg. 349)</w:t>
            </w:r>
          </w:p>
          <w:p w14:paraId="1933F04E" w14:textId="22C1F467" w:rsidR="00996082" w:rsidRPr="00996082" w:rsidRDefault="00996082" w:rsidP="00996082">
            <w:pPr>
              <w:rPr>
                <w:sz w:val="20"/>
                <w:szCs w:val="20"/>
                <w:lang w:val="en-IE"/>
              </w:rPr>
            </w:pPr>
            <w:r w:rsidRPr="00996082">
              <w:rPr>
                <w:sz w:val="20"/>
                <w:szCs w:val="20"/>
                <w:lang w:val="en-IE"/>
              </w:rPr>
              <w:t xml:space="preserve">It is the experience of members of </w:t>
            </w:r>
            <w:r>
              <w:rPr>
                <w:sz w:val="20"/>
                <w:szCs w:val="20"/>
                <w:lang w:val="en-IE"/>
              </w:rPr>
              <w:t xml:space="preserve">KIN </w:t>
            </w:r>
            <w:r w:rsidRPr="00996082">
              <w:rPr>
                <w:sz w:val="20"/>
                <w:szCs w:val="20"/>
                <w:lang w:val="en-IE"/>
              </w:rPr>
              <w:t>that this is not happening in some residential areas.</w:t>
            </w:r>
            <w:r>
              <w:rPr>
                <w:sz w:val="20"/>
                <w:szCs w:val="20"/>
                <w:lang w:val="en-IE"/>
              </w:rPr>
              <w:t xml:space="preserve"> KIN </w:t>
            </w:r>
            <w:r w:rsidRPr="00996082">
              <w:rPr>
                <w:sz w:val="20"/>
                <w:szCs w:val="20"/>
                <w:lang w:val="en-IE"/>
              </w:rPr>
              <w:t xml:space="preserve">would like to see more information and support for private garden owners to make changes to improve biodiversity and create ecological corridors. </w:t>
            </w:r>
            <w:r>
              <w:rPr>
                <w:sz w:val="20"/>
                <w:szCs w:val="20"/>
                <w:lang w:val="en-IE"/>
              </w:rPr>
              <w:t>Generally KIN would like to see the follow:</w:t>
            </w:r>
          </w:p>
          <w:p w14:paraId="7896AD49" w14:textId="77777777" w:rsidR="00996082" w:rsidRPr="00996082" w:rsidRDefault="00996082" w:rsidP="00996082">
            <w:pPr>
              <w:rPr>
                <w:sz w:val="20"/>
                <w:szCs w:val="20"/>
                <w:lang w:val="en-IE"/>
              </w:rPr>
            </w:pPr>
            <w:r w:rsidRPr="00996082">
              <w:rPr>
                <w:sz w:val="20"/>
                <w:szCs w:val="20"/>
                <w:lang w:val="en-IE"/>
              </w:rPr>
              <w:t xml:space="preserve">* To prioritise the planting of native Irish tree, shrub and ground cover plant species in all public greening projects. </w:t>
            </w:r>
          </w:p>
          <w:p w14:paraId="4782B843" w14:textId="77C9C512" w:rsidR="00996082" w:rsidRPr="00996082" w:rsidRDefault="00996082" w:rsidP="00996082">
            <w:pPr>
              <w:rPr>
                <w:sz w:val="20"/>
                <w:szCs w:val="20"/>
                <w:lang w:val="en-IE"/>
              </w:rPr>
            </w:pPr>
            <w:r w:rsidRPr="00996082">
              <w:rPr>
                <w:sz w:val="20"/>
                <w:szCs w:val="20"/>
                <w:lang w:val="en-IE"/>
              </w:rPr>
              <w:t>* To implement a 1 per cent for biodiversity levy on all</w:t>
            </w:r>
            <w:r>
              <w:rPr>
                <w:sz w:val="20"/>
                <w:szCs w:val="20"/>
                <w:lang w:val="en-IE"/>
              </w:rPr>
              <w:t xml:space="preserve"> developments within the city</w:t>
            </w:r>
          </w:p>
          <w:p w14:paraId="7CE3CE29" w14:textId="77777777" w:rsidR="00996082" w:rsidRPr="00996082" w:rsidRDefault="00996082" w:rsidP="00996082">
            <w:pPr>
              <w:rPr>
                <w:sz w:val="20"/>
                <w:szCs w:val="20"/>
                <w:lang w:val="en-IE"/>
              </w:rPr>
            </w:pPr>
            <w:r w:rsidRPr="00996082">
              <w:rPr>
                <w:sz w:val="20"/>
                <w:szCs w:val="20"/>
                <w:lang w:val="en-IE"/>
              </w:rPr>
              <w:t xml:space="preserve">*To work with social enterprises and involve communities in designing, planting and maintaining public green areas </w:t>
            </w:r>
          </w:p>
          <w:p w14:paraId="4A68E358" w14:textId="77777777" w:rsidR="00996082" w:rsidRPr="00996082" w:rsidRDefault="00996082" w:rsidP="00996082">
            <w:pPr>
              <w:rPr>
                <w:sz w:val="20"/>
                <w:szCs w:val="20"/>
                <w:lang w:val="en-IE"/>
              </w:rPr>
            </w:pPr>
            <w:r w:rsidRPr="00996082">
              <w:rPr>
                <w:sz w:val="20"/>
                <w:szCs w:val="20"/>
                <w:lang w:val="en-IE"/>
              </w:rPr>
              <w:t xml:space="preserve">* To use a nature-based and wilding approach to green walls, prioritising native Irish ivy over non-native species </w:t>
            </w:r>
          </w:p>
          <w:p w14:paraId="34E688E7" w14:textId="0D42DC08" w:rsidR="00996082" w:rsidRPr="00996082" w:rsidRDefault="00996082" w:rsidP="00996082">
            <w:pPr>
              <w:rPr>
                <w:sz w:val="20"/>
                <w:szCs w:val="20"/>
                <w:lang w:val="en-IE"/>
              </w:rPr>
            </w:pPr>
            <w:r w:rsidRPr="00996082">
              <w:rPr>
                <w:sz w:val="20"/>
                <w:szCs w:val="20"/>
                <w:lang w:val="en-IE"/>
              </w:rPr>
              <w:t xml:space="preserve">* To set measurable targets on amount of hard surface opened up to be planted to ameliorate flooding, the heat island effect </w:t>
            </w:r>
            <w:r>
              <w:rPr>
                <w:sz w:val="20"/>
                <w:szCs w:val="20"/>
                <w:lang w:val="en-IE"/>
              </w:rPr>
              <w:t>&amp;</w:t>
            </w:r>
            <w:r w:rsidRPr="00996082">
              <w:rPr>
                <w:sz w:val="20"/>
                <w:szCs w:val="20"/>
                <w:lang w:val="en-IE"/>
              </w:rPr>
              <w:t xml:space="preserve"> biodiversity loss </w:t>
            </w:r>
          </w:p>
          <w:p w14:paraId="0B1EC8E8" w14:textId="77777777" w:rsidR="00996082" w:rsidRPr="00996082" w:rsidRDefault="00996082" w:rsidP="00996082">
            <w:pPr>
              <w:rPr>
                <w:sz w:val="20"/>
                <w:szCs w:val="20"/>
                <w:lang w:val="en-IE"/>
              </w:rPr>
            </w:pPr>
            <w:r w:rsidRPr="00996082">
              <w:rPr>
                <w:sz w:val="20"/>
                <w:szCs w:val="20"/>
                <w:lang w:val="en-IE"/>
              </w:rPr>
              <w:t xml:space="preserve">* To set measurable targets on the increase in tree cover </w:t>
            </w:r>
          </w:p>
          <w:p w14:paraId="370E2E98" w14:textId="77777777" w:rsidR="00996082" w:rsidRPr="00996082" w:rsidRDefault="00996082" w:rsidP="00996082">
            <w:pPr>
              <w:rPr>
                <w:sz w:val="20"/>
                <w:szCs w:val="20"/>
                <w:lang w:val="en-IE"/>
              </w:rPr>
            </w:pPr>
            <w:r w:rsidRPr="00996082">
              <w:rPr>
                <w:sz w:val="20"/>
                <w:szCs w:val="20"/>
                <w:lang w:val="en-IE"/>
              </w:rPr>
              <w:t xml:space="preserve">* To plan for succession problems with older trees by implementing no-mow policies around existing mature trees, where feasible, to allow them to seed new trees </w:t>
            </w:r>
          </w:p>
          <w:p w14:paraId="0AE46B4A" w14:textId="77777777" w:rsidR="00996082" w:rsidRDefault="00996082" w:rsidP="00996082">
            <w:pPr>
              <w:rPr>
                <w:sz w:val="20"/>
                <w:szCs w:val="20"/>
                <w:lang w:val="en-IE"/>
              </w:rPr>
            </w:pPr>
            <w:r w:rsidRPr="00996082">
              <w:rPr>
                <w:sz w:val="20"/>
                <w:szCs w:val="20"/>
                <w:lang w:val="en-IE"/>
              </w:rPr>
              <w:t xml:space="preserve">* To eliminate the use of peat compost in all DCC activities and its use by all suppliers to DCC </w:t>
            </w:r>
          </w:p>
          <w:p w14:paraId="72F448C9" w14:textId="169F9AEC" w:rsidR="00996082" w:rsidRPr="00996082" w:rsidRDefault="00996082">
            <w:pPr>
              <w:rPr>
                <w:sz w:val="20"/>
                <w:szCs w:val="20"/>
                <w:lang w:val="en-IE"/>
              </w:rPr>
            </w:pPr>
            <w:r w:rsidRPr="00996082">
              <w:rPr>
                <w:sz w:val="20"/>
                <w:szCs w:val="20"/>
                <w:lang w:val="en-IE"/>
              </w:rPr>
              <w:t xml:space="preserve">* To fund community-based urban greening enterprises </w:t>
            </w:r>
          </w:p>
        </w:tc>
      </w:tr>
      <w:tr w:rsidR="00996082" w:rsidRPr="00102688" w14:paraId="57FD711F" w14:textId="77777777" w:rsidTr="00B36723">
        <w:trPr>
          <w:trHeight w:val="1500"/>
        </w:trPr>
        <w:tc>
          <w:tcPr>
            <w:tcW w:w="426" w:type="dxa"/>
          </w:tcPr>
          <w:p w14:paraId="741E00C1" w14:textId="5B3F0FB3" w:rsidR="00996082" w:rsidRPr="00625B5B" w:rsidRDefault="00D41B96">
            <w:pPr>
              <w:rPr>
                <w:sz w:val="18"/>
                <w:szCs w:val="18"/>
              </w:rPr>
            </w:pPr>
            <w:r>
              <w:rPr>
                <w:sz w:val="18"/>
                <w:szCs w:val="18"/>
              </w:rPr>
              <w:lastRenderedPageBreak/>
              <w:t>8</w:t>
            </w:r>
          </w:p>
        </w:tc>
        <w:tc>
          <w:tcPr>
            <w:tcW w:w="1417" w:type="dxa"/>
          </w:tcPr>
          <w:p w14:paraId="3E0FE2BA" w14:textId="04CF9E8C" w:rsidR="00996082" w:rsidRPr="00102688" w:rsidRDefault="00996082">
            <w:pPr>
              <w:rPr>
                <w:sz w:val="20"/>
                <w:szCs w:val="20"/>
              </w:rPr>
            </w:pPr>
            <w:r w:rsidRPr="00996082">
              <w:rPr>
                <w:sz w:val="20"/>
                <w:szCs w:val="20"/>
                <w:lang w:val="en-IE"/>
              </w:rPr>
              <w:t>10: Green Infrastructure and Recreation</w:t>
            </w:r>
          </w:p>
        </w:tc>
        <w:tc>
          <w:tcPr>
            <w:tcW w:w="1701" w:type="dxa"/>
          </w:tcPr>
          <w:p w14:paraId="0279C1BB" w14:textId="0A7C977D" w:rsidR="00996082" w:rsidRPr="00102688" w:rsidRDefault="00996082">
            <w:pPr>
              <w:rPr>
                <w:sz w:val="20"/>
                <w:szCs w:val="20"/>
              </w:rPr>
            </w:pPr>
            <w:r>
              <w:rPr>
                <w:sz w:val="20"/>
                <w:szCs w:val="20"/>
              </w:rPr>
              <w:t xml:space="preserve">10.5.2 Policies and Objectives - </w:t>
            </w:r>
            <w:r w:rsidRPr="00BD256A">
              <w:rPr>
                <w:b/>
                <w:sz w:val="20"/>
                <w:szCs w:val="20"/>
              </w:rPr>
              <w:t>Bio Diversity</w:t>
            </w:r>
          </w:p>
        </w:tc>
        <w:tc>
          <w:tcPr>
            <w:tcW w:w="11849" w:type="dxa"/>
          </w:tcPr>
          <w:p w14:paraId="5CE87B6B" w14:textId="28967693" w:rsidR="00996082" w:rsidRPr="00996082" w:rsidRDefault="005F4FDB" w:rsidP="00996082">
            <w:pPr>
              <w:rPr>
                <w:b/>
                <w:sz w:val="20"/>
                <w:szCs w:val="20"/>
                <w:lang w:val="en-IE"/>
              </w:rPr>
            </w:pPr>
            <w:r>
              <w:rPr>
                <w:b/>
                <w:sz w:val="20"/>
                <w:szCs w:val="20"/>
                <w:lang w:val="en-IE"/>
              </w:rPr>
              <w:t xml:space="preserve">Policy </w:t>
            </w:r>
            <w:r w:rsidR="00996082" w:rsidRPr="00996082">
              <w:rPr>
                <w:b/>
                <w:sz w:val="20"/>
                <w:szCs w:val="20"/>
                <w:lang w:val="en-IE"/>
              </w:rPr>
              <w:t xml:space="preserve">GI17 Habitat Restoration </w:t>
            </w:r>
            <w:r w:rsidR="00E95377">
              <w:rPr>
                <w:b/>
                <w:sz w:val="20"/>
                <w:szCs w:val="20"/>
                <w:lang w:val="en-IE"/>
              </w:rPr>
              <w:t>(pg. 363)</w:t>
            </w:r>
          </w:p>
          <w:p w14:paraId="5DD3A81D" w14:textId="59D6A549" w:rsidR="00996082" w:rsidRDefault="00996082" w:rsidP="00996082">
            <w:pPr>
              <w:rPr>
                <w:sz w:val="20"/>
                <w:szCs w:val="20"/>
                <w:lang w:val="en-IE"/>
              </w:rPr>
            </w:pPr>
            <w:r>
              <w:rPr>
                <w:i/>
                <w:sz w:val="20"/>
                <w:szCs w:val="20"/>
                <w:lang w:val="en-IE"/>
              </w:rPr>
              <w:t>“</w:t>
            </w:r>
            <w:r w:rsidRPr="00996082">
              <w:rPr>
                <w:i/>
                <w:sz w:val="20"/>
                <w:szCs w:val="20"/>
                <w:lang w:val="en-IE"/>
              </w:rPr>
              <w:t>To increase the percentage of restored and naturalised areas on public land in the city. That new development on private and public lands should provide opportunities for restoration of degraded habitats and soils where feasible and provide for their long-term maintenance to limit degradation</w:t>
            </w:r>
            <w:r>
              <w:rPr>
                <w:i/>
                <w:sz w:val="20"/>
                <w:szCs w:val="20"/>
                <w:lang w:val="en-IE"/>
              </w:rPr>
              <w:t>” (pg. 363)</w:t>
            </w:r>
            <w:r w:rsidRPr="00996082">
              <w:rPr>
                <w:i/>
                <w:sz w:val="20"/>
                <w:szCs w:val="20"/>
                <w:lang w:val="en-IE"/>
              </w:rPr>
              <w:t>.</w:t>
            </w:r>
            <w:r w:rsidRPr="00996082">
              <w:rPr>
                <w:sz w:val="20"/>
                <w:szCs w:val="20"/>
                <w:lang w:val="en-IE"/>
              </w:rPr>
              <w:t xml:space="preserve"> </w:t>
            </w:r>
          </w:p>
          <w:p w14:paraId="1A8FCFF7" w14:textId="65C2778C" w:rsidR="005F4FDB" w:rsidRPr="00996082" w:rsidRDefault="005F4FDB" w:rsidP="00996082">
            <w:pPr>
              <w:rPr>
                <w:sz w:val="20"/>
                <w:szCs w:val="20"/>
                <w:lang w:val="en-IE"/>
              </w:rPr>
            </w:pPr>
            <w:r>
              <w:rPr>
                <w:sz w:val="20"/>
                <w:szCs w:val="20"/>
                <w:lang w:val="en-IE"/>
              </w:rPr>
              <w:t>KIN suggest the following is added:</w:t>
            </w:r>
          </w:p>
          <w:p w14:paraId="1BE53E20" w14:textId="77777777" w:rsidR="00996082" w:rsidRPr="005F4FDB" w:rsidRDefault="00996082" w:rsidP="00996082">
            <w:pPr>
              <w:rPr>
                <w:sz w:val="20"/>
                <w:szCs w:val="20"/>
                <w:lang w:val="en-IE"/>
              </w:rPr>
            </w:pPr>
            <w:r w:rsidRPr="005F4FDB">
              <w:rPr>
                <w:sz w:val="20"/>
                <w:szCs w:val="20"/>
                <w:lang w:val="en-IE"/>
              </w:rPr>
              <w:t xml:space="preserve">* To encourage and fund community composting projects to regenerate degraded city soil </w:t>
            </w:r>
          </w:p>
          <w:p w14:paraId="448D0015" w14:textId="169569C0" w:rsidR="00996082" w:rsidRPr="005F4FDB" w:rsidRDefault="005F4FDB" w:rsidP="00996082">
            <w:pPr>
              <w:rPr>
                <w:sz w:val="20"/>
                <w:szCs w:val="20"/>
                <w:lang w:val="en-IE"/>
              </w:rPr>
            </w:pPr>
            <w:r>
              <w:rPr>
                <w:i/>
                <w:sz w:val="20"/>
                <w:szCs w:val="20"/>
                <w:lang w:val="en-IE"/>
              </w:rPr>
              <w:t xml:space="preserve">* </w:t>
            </w:r>
            <w:r w:rsidR="00996082" w:rsidRPr="005F4FDB">
              <w:rPr>
                <w:sz w:val="20"/>
                <w:szCs w:val="20"/>
                <w:lang w:val="en-IE"/>
              </w:rPr>
              <w:t xml:space="preserve">Growing space in residential developments, rooftops and temporarily on vacant land and initiatives such as the Eat the Streets (https://www.eatthestreets.ie/dublin) will be fully supported. </w:t>
            </w:r>
          </w:p>
          <w:p w14:paraId="1409D357" w14:textId="2E9F81FA" w:rsidR="00996082" w:rsidRPr="00102688" w:rsidRDefault="00996082" w:rsidP="005F4FDB">
            <w:pPr>
              <w:rPr>
                <w:sz w:val="20"/>
                <w:szCs w:val="20"/>
              </w:rPr>
            </w:pPr>
            <w:r w:rsidRPr="005F4FDB">
              <w:rPr>
                <w:sz w:val="20"/>
                <w:szCs w:val="20"/>
                <w:lang w:val="en-IE"/>
              </w:rPr>
              <w:t xml:space="preserve">* To designate areas for urban food growing, using perennial plants and involving community groups, such as Foroige, in creating the food gardens/forests </w:t>
            </w:r>
            <w:r w:rsidR="005F4FDB">
              <w:rPr>
                <w:sz w:val="20"/>
                <w:szCs w:val="20"/>
                <w:lang w:val="en-IE"/>
              </w:rPr>
              <w:t>.</w:t>
            </w:r>
          </w:p>
        </w:tc>
      </w:tr>
      <w:tr w:rsidR="00B54CBE" w:rsidRPr="00102688" w14:paraId="268A53FA" w14:textId="77777777" w:rsidTr="003052A0">
        <w:trPr>
          <w:trHeight w:val="1250"/>
        </w:trPr>
        <w:tc>
          <w:tcPr>
            <w:tcW w:w="426" w:type="dxa"/>
          </w:tcPr>
          <w:p w14:paraId="5ECA2AD8" w14:textId="4B37B366" w:rsidR="00B54CBE" w:rsidRPr="00625B5B" w:rsidRDefault="00D41B96">
            <w:pPr>
              <w:rPr>
                <w:sz w:val="18"/>
                <w:szCs w:val="18"/>
              </w:rPr>
            </w:pPr>
            <w:r>
              <w:rPr>
                <w:sz w:val="18"/>
                <w:szCs w:val="18"/>
              </w:rPr>
              <w:t>9</w:t>
            </w:r>
          </w:p>
        </w:tc>
        <w:tc>
          <w:tcPr>
            <w:tcW w:w="1417" w:type="dxa"/>
          </w:tcPr>
          <w:p w14:paraId="0CDA90CA" w14:textId="1C03ED87" w:rsidR="00B54CBE" w:rsidRPr="00102688" w:rsidRDefault="00B54CBE">
            <w:pPr>
              <w:rPr>
                <w:sz w:val="20"/>
                <w:szCs w:val="20"/>
              </w:rPr>
            </w:pPr>
            <w:r w:rsidRPr="00102688">
              <w:rPr>
                <w:sz w:val="20"/>
                <w:szCs w:val="20"/>
              </w:rPr>
              <w:t>10: Green Infrastructure and Recreation</w:t>
            </w:r>
          </w:p>
        </w:tc>
        <w:tc>
          <w:tcPr>
            <w:tcW w:w="1701" w:type="dxa"/>
          </w:tcPr>
          <w:p w14:paraId="37F15393" w14:textId="792956F8" w:rsidR="00B54CBE" w:rsidRPr="00102688" w:rsidRDefault="00B54CBE">
            <w:pPr>
              <w:rPr>
                <w:sz w:val="20"/>
                <w:szCs w:val="20"/>
              </w:rPr>
            </w:pPr>
            <w:r w:rsidRPr="00102688">
              <w:rPr>
                <w:sz w:val="20"/>
                <w:szCs w:val="20"/>
              </w:rPr>
              <w:t xml:space="preserve">10.5.8 </w:t>
            </w:r>
            <w:r>
              <w:rPr>
                <w:sz w:val="20"/>
                <w:szCs w:val="20"/>
              </w:rPr>
              <w:t xml:space="preserve">Policies and Objectives </w:t>
            </w:r>
            <w:r w:rsidRPr="00BD256A">
              <w:rPr>
                <w:b/>
                <w:sz w:val="20"/>
                <w:szCs w:val="20"/>
              </w:rPr>
              <w:t>Sport, Recreation and Play</w:t>
            </w:r>
          </w:p>
        </w:tc>
        <w:tc>
          <w:tcPr>
            <w:tcW w:w="11849" w:type="dxa"/>
          </w:tcPr>
          <w:p w14:paraId="2D650A70" w14:textId="6062CDBA" w:rsidR="00B54CBE" w:rsidRPr="00BD256A" w:rsidRDefault="00B54CBE" w:rsidP="00B54CBE">
            <w:pPr>
              <w:rPr>
                <w:b/>
                <w:sz w:val="20"/>
                <w:szCs w:val="20"/>
              </w:rPr>
            </w:pPr>
            <w:r w:rsidRPr="00BD256A">
              <w:rPr>
                <w:b/>
                <w:sz w:val="20"/>
                <w:szCs w:val="20"/>
              </w:rPr>
              <w:t>Policy GI</w:t>
            </w:r>
            <w:r>
              <w:rPr>
                <w:b/>
                <w:sz w:val="20"/>
                <w:szCs w:val="20"/>
              </w:rPr>
              <w:t>48 –</w:t>
            </w:r>
            <w:r w:rsidRPr="00BD256A">
              <w:rPr>
                <w:b/>
                <w:sz w:val="20"/>
                <w:szCs w:val="20"/>
              </w:rPr>
              <w:t xml:space="preserve"> </w:t>
            </w:r>
            <w:r>
              <w:rPr>
                <w:b/>
                <w:sz w:val="20"/>
                <w:szCs w:val="20"/>
              </w:rPr>
              <w:t>Multiple Use of Sports and Recreational Facilities</w:t>
            </w:r>
            <w:r w:rsidRPr="00BD256A">
              <w:rPr>
                <w:b/>
                <w:sz w:val="20"/>
                <w:szCs w:val="20"/>
              </w:rPr>
              <w:t>.  (pg. 382)</w:t>
            </w:r>
          </w:p>
          <w:p w14:paraId="401FFF1A" w14:textId="071D5085" w:rsidR="00B54CBE" w:rsidRPr="00BD256A" w:rsidRDefault="003052A0" w:rsidP="003052A0">
            <w:pPr>
              <w:rPr>
                <w:b/>
                <w:sz w:val="20"/>
                <w:szCs w:val="20"/>
              </w:rPr>
            </w:pPr>
            <w:r>
              <w:rPr>
                <w:sz w:val="20"/>
                <w:szCs w:val="20"/>
                <w:lang w:val="en-IE"/>
              </w:rPr>
              <w:t>D</w:t>
            </w:r>
            <w:r w:rsidR="00B54CBE" w:rsidRPr="00B54CBE">
              <w:rPr>
                <w:sz w:val="20"/>
                <w:szCs w:val="20"/>
                <w:lang w:val="en-IE"/>
              </w:rPr>
              <w:t xml:space="preserve">ifferent </w:t>
            </w:r>
            <w:r>
              <w:rPr>
                <w:sz w:val="20"/>
                <w:szCs w:val="20"/>
                <w:lang w:val="en-IE"/>
              </w:rPr>
              <w:t xml:space="preserve">sports </w:t>
            </w:r>
            <w:r w:rsidR="00B54CBE" w:rsidRPr="00B54CBE">
              <w:rPr>
                <w:sz w:val="20"/>
                <w:szCs w:val="20"/>
                <w:lang w:val="en-IE"/>
              </w:rPr>
              <w:t>teams</w:t>
            </w:r>
            <w:r>
              <w:rPr>
                <w:sz w:val="20"/>
                <w:szCs w:val="20"/>
                <w:lang w:val="en-IE"/>
              </w:rPr>
              <w:t>/clubs</w:t>
            </w:r>
            <w:r w:rsidR="00B54CBE" w:rsidRPr="00B54CBE">
              <w:rPr>
                <w:sz w:val="20"/>
                <w:szCs w:val="20"/>
                <w:lang w:val="en-IE"/>
              </w:rPr>
              <w:t xml:space="preserve"> will possibly be in competition with each other for space and resources</w:t>
            </w:r>
            <w:r>
              <w:rPr>
                <w:sz w:val="20"/>
                <w:szCs w:val="20"/>
                <w:lang w:val="en-IE"/>
              </w:rPr>
              <w:t>.  DCC</w:t>
            </w:r>
            <w:r w:rsidR="00B54CBE" w:rsidRPr="00B54CBE">
              <w:rPr>
                <w:sz w:val="20"/>
                <w:szCs w:val="20"/>
                <w:lang w:val="en-IE"/>
              </w:rPr>
              <w:t xml:space="preserve"> need to show leadership on planning co-location of different clubs, further educational colleges, schools, possibly on the same community sports pitch. </w:t>
            </w:r>
            <w:r>
              <w:rPr>
                <w:sz w:val="20"/>
                <w:szCs w:val="20"/>
                <w:lang w:val="en-IE"/>
              </w:rPr>
              <w:t xml:space="preserve">Consideration should be given by DCC  to contract </w:t>
            </w:r>
            <w:r w:rsidR="00B54CBE" w:rsidRPr="00B54CBE">
              <w:rPr>
                <w:sz w:val="20"/>
                <w:szCs w:val="20"/>
                <w:lang w:val="en-IE"/>
              </w:rPr>
              <w:t>an independent management company</w:t>
            </w:r>
            <w:r>
              <w:rPr>
                <w:sz w:val="20"/>
                <w:szCs w:val="20"/>
                <w:lang w:val="en-IE"/>
              </w:rPr>
              <w:t xml:space="preserve"> </w:t>
            </w:r>
            <w:r w:rsidR="00B54CBE" w:rsidRPr="00B54CBE">
              <w:rPr>
                <w:sz w:val="20"/>
                <w:szCs w:val="20"/>
                <w:lang w:val="en-IE"/>
              </w:rPr>
              <w:t xml:space="preserve">to operate multi sport- community team sports pitches </w:t>
            </w:r>
            <w:r>
              <w:rPr>
                <w:sz w:val="20"/>
                <w:szCs w:val="20"/>
                <w:lang w:val="en-IE"/>
              </w:rPr>
              <w:t>(</w:t>
            </w:r>
            <w:r w:rsidR="00B54CBE" w:rsidRPr="00B54CBE">
              <w:rPr>
                <w:sz w:val="20"/>
                <w:szCs w:val="20"/>
                <w:lang w:val="en-IE"/>
              </w:rPr>
              <w:t>of 90m by 140m/sports facilities</w:t>
            </w:r>
            <w:r>
              <w:rPr>
                <w:sz w:val="20"/>
                <w:szCs w:val="20"/>
                <w:lang w:val="en-IE"/>
              </w:rPr>
              <w:t>)</w:t>
            </w:r>
            <w:r w:rsidR="00B54CBE" w:rsidRPr="00B54CBE">
              <w:rPr>
                <w:sz w:val="20"/>
                <w:szCs w:val="20"/>
                <w:lang w:val="en-IE"/>
              </w:rPr>
              <w:t xml:space="preserve"> </w:t>
            </w:r>
            <w:r>
              <w:rPr>
                <w:sz w:val="20"/>
                <w:szCs w:val="20"/>
                <w:lang w:val="en-IE"/>
              </w:rPr>
              <w:t>in order t</w:t>
            </w:r>
            <w:r w:rsidR="00B54CBE" w:rsidRPr="00B54CBE">
              <w:rPr>
                <w:sz w:val="20"/>
                <w:szCs w:val="20"/>
                <w:lang w:val="en-IE"/>
              </w:rPr>
              <w:t>o manag</w:t>
            </w:r>
            <w:r>
              <w:rPr>
                <w:sz w:val="20"/>
                <w:szCs w:val="20"/>
                <w:lang w:val="en-IE"/>
              </w:rPr>
              <w:t xml:space="preserve">e </w:t>
            </w:r>
            <w:r w:rsidR="00B54CBE" w:rsidRPr="00B54CBE">
              <w:rPr>
                <w:sz w:val="20"/>
                <w:szCs w:val="20"/>
                <w:lang w:val="en-IE"/>
              </w:rPr>
              <w:t>the tension between different clubs/stakeholders using the space</w:t>
            </w:r>
            <w:r>
              <w:rPr>
                <w:sz w:val="20"/>
                <w:szCs w:val="20"/>
                <w:lang w:val="en-IE"/>
              </w:rPr>
              <w:t>.</w:t>
            </w:r>
          </w:p>
        </w:tc>
      </w:tr>
      <w:tr w:rsidR="00625B5B" w:rsidRPr="00102688" w14:paraId="4A5B834D" w14:textId="77777777" w:rsidTr="00B36723">
        <w:trPr>
          <w:trHeight w:val="1500"/>
        </w:trPr>
        <w:tc>
          <w:tcPr>
            <w:tcW w:w="426" w:type="dxa"/>
          </w:tcPr>
          <w:p w14:paraId="675A4073" w14:textId="56CA8581" w:rsidR="00625B5B" w:rsidRPr="00625B5B" w:rsidRDefault="00D41B96">
            <w:pPr>
              <w:rPr>
                <w:sz w:val="18"/>
                <w:szCs w:val="18"/>
              </w:rPr>
            </w:pPr>
            <w:r>
              <w:rPr>
                <w:sz w:val="18"/>
                <w:szCs w:val="18"/>
              </w:rPr>
              <w:t>10</w:t>
            </w:r>
          </w:p>
        </w:tc>
        <w:tc>
          <w:tcPr>
            <w:tcW w:w="1417" w:type="dxa"/>
            <w:hideMark/>
          </w:tcPr>
          <w:p w14:paraId="43B91DA6" w14:textId="2FBC56CA" w:rsidR="00625B5B" w:rsidRPr="00102688" w:rsidRDefault="00625B5B">
            <w:pPr>
              <w:rPr>
                <w:sz w:val="20"/>
                <w:szCs w:val="20"/>
              </w:rPr>
            </w:pPr>
            <w:r w:rsidRPr="00102688">
              <w:rPr>
                <w:sz w:val="20"/>
                <w:szCs w:val="20"/>
              </w:rPr>
              <w:t>10: Green Infrastructure and Recreation</w:t>
            </w:r>
          </w:p>
        </w:tc>
        <w:tc>
          <w:tcPr>
            <w:tcW w:w="1701" w:type="dxa"/>
            <w:hideMark/>
          </w:tcPr>
          <w:p w14:paraId="2FB344F1" w14:textId="3D789F6B" w:rsidR="00625B5B" w:rsidRPr="00102688" w:rsidRDefault="00625B5B">
            <w:pPr>
              <w:rPr>
                <w:sz w:val="20"/>
                <w:szCs w:val="20"/>
              </w:rPr>
            </w:pPr>
            <w:r w:rsidRPr="00102688">
              <w:rPr>
                <w:sz w:val="20"/>
                <w:szCs w:val="20"/>
              </w:rPr>
              <w:t xml:space="preserve">10.5.8 </w:t>
            </w:r>
            <w:r w:rsidR="00BD256A">
              <w:rPr>
                <w:sz w:val="20"/>
                <w:szCs w:val="20"/>
              </w:rPr>
              <w:t xml:space="preserve">Policies and Objectives </w:t>
            </w:r>
            <w:r w:rsidRPr="00BD256A">
              <w:rPr>
                <w:b/>
                <w:sz w:val="20"/>
                <w:szCs w:val="20"/>
              </w:rPr>
              <w:t>Sport, Recreation and Play</w:t>
            </w:r>
          </w:p>
        </w:tc>
        <w:tc>
          <w:tcPr>
            <w:tcW w:w="11849" w:type="dxa"/>
            <w:hideMark/>
          </w:tcPr>
          <w:p w14:paraId="75C7C429" w14:textId="580507C0" w:rsidR="00BD256A" w:rsidRPr="00BD256A" w:rsidRDefault="00625B5B">
            <w:pPr>
              <w:rPr>
                <w:b/>
                <w:sz w:val="20"/>
                <w:szCs w:val="20"/>
              </w:rPr>
            </w:pPr>
            <w:r w:rsidRPr="00BD256A">
              <w:rPr>
                <w:b/>
                <w:sz w:val="20"/>
                <w:szCs w:val="20"/>
              </w:rPr>
              <w:t>Policy GI49</w:t>
            </w:r>
            <w:r w:rsidR="00BD256A">
              <w:rPr>
                <w:b/>
                <w:sz w:val="20"/>
                <w:szCs w:val="20"/>
              </w:rPr>
              <w:t xml:space="preserve"> -</w:t>
            </w:r>
            <w:r w:rsidRPr="00BD256A">
              <w:rPr>
                <w:b/>
                <w:sz w:val="20"/>
                <w:szCs w:val="20"/>
              </w:rPr>
              <w:t xml:space="preserve"> Protection of Existing and Established Sport and Recreational Facilities.  </w:t>
            </w:r>
            <w:r w:rsidR="00BD256A" w:rsidRPr="00BD256A">
              <w:rPr>
                <w:b/>
                <w:sz w:val="20"/>
                <w:szCs w:val="20"/>
              </w:rPr>
              <w:t>(pg. 382)</w:t>
            </w:r>
          </w:p>
          <w:p w14:paraId="0B68B103" w14:textId="7AADBA0F" w:rsidR="00625B5B" w:rsidRPr="00102688" w:rsidRDefault="00625B5B">
            <w:pPr>
              <w:rPr>
                <w:sz w:val="20"/>
                <w:szCs w:val="20"/>
              </w:rPr>
            </w:pPr>
            <w:r w:rsidRPr="00102688">
              <w:rPr>
                <w:sz w:val="20"/>
                <w:szCs w:val="20"/>
              </w:rPr>
              <w:t>KIN support this DCC Policy to protect existing and established sport and recreational facilities, including pitches… unless the loss would be replaced by equivalent or better provision in terms of quantity or quality in an accessible and suitable location.... the benefits of which would clearly outweigh the loss of the former."  With regard to the Inchicore Sports Centre and the current pitch KIN would like assurance that the above policy is applied to future plans for the ERD.</w:t>
            </w:r>
          </w:p>
        </w:tc>
      </w:tr>
      <w:tr w:rsidR="00BD256A" w:rsidRPr="00102688" w14:paraId="63FC5AE4" w14:textId="77777777" w:rsidTr="00B36723">
        <w:trPr>
          <w:trHeight w:val="1200"/>
        </w:trPr>
        <w:tc>
          <w:tcPr>
            <w:tcW w:w="426" w:type="dxa"/>
          </w:tcPr>
          <w:p w14:paraId="6E1EBDB2" w14:textId="29923D9D" w:rsidR="00BD256A" w:rsidRPr="00625B5B" w:rsidRDefault="00D41B96">
            <w:pPr>
              <w:rPr>
                <w:sz w:val="18"/>
                <w:szCs w:val="18"/>
              </w:rPr>
            </w:pPr>
            <w:r>
              <w:rPr>
                <w:sz w:val="18"/>
                <w:szCs w:val="18"/>
              </w:rPr>
              <w:lastRenderedPageBreak/>
              <w:t>11</w:t>
            </w:r>
          </w:p>
        </w:tc>
        <w:tc>
          <w:tcPr>
            <w:tcW w:w="1417" w:type="dxa"/>
          </w:tcPr>
          <w:p w14:paraId="2C605532" w14:textId="456D4040" w:rsidR="00BD256A" w:rsidRPr="00102688" w:rsidRDefault="00BD256A">
            <w:pPr>
              <w:rPr>
                <w:sz w:val="20"/>
                <w:szCs w:val="20"/>
              </w:rPr>
            </w:pPr>
            <w:r w:rsidRPr="00102688">
              <w:rPr>
                <w:sz w:val="20"/>
                <w:szCs w:val="20"/>
              </w:rPr>
              <w:t>10: Green Infrastructure and Recreation</w:t>
            </w:r>
          </w:p>
        </w:tc>
        <w:tc>
          <w:tcPr>
            <w:tcW w:w="1701" w:type="dxa"/>
          </w:tcPr>
          <w:p w14:paraId="06B118A3" w14:textId="7BFA4B38" w:rsidR="00BD256A" w:rsidRPr="00102688" w:rsidRDefault="00BD256A">
            <w:pPr>
              <w:rPr>
                <w:sz w:val="20"/>
                <w:szCs w:val="20"/>
              </w:rPr>
            </w:pPr>
            <w:r w:rsidRPr="00BD256A">
              <w:rPr>
                <w:sz w:val="20"/>
                <w:szCs w:val="20"/>
                <w:lang w:val="en-IE"/>
              </w:rPr>
              <w:t xml:space="preserve">10.5.8 Policies and Objectives </w:t>
            </w:r>
            <w:r w:rsidRPr="00BD256A">
              <w:rPr>
                <w:b/>
                <w:sz w:val="20"/>
                <w:szCs w:val="20"/>
                <w:lang w:val="en-IE"/>
              </w:rPr>
              <w:t>Sport, Recreation and Play</w:t>
            </w:r>
          </w:p>
        </w:tc>
        <w:tc>
          <w:tcPr>
            <w:tcW w:w="11849" w:type="dxa"/>
          </w:tcPr>
          <w:p w14:paraId="7A757402" w14:textId="77777777" w:rsidR="00BD256A" w:rsidRPr="00BD256A" w:rsidRDefault="00BD256A" w:rsidP="002D2C1C">
            <w:pPr>
              <w:rPr>
                <w:b/>
                <w:sz w:val="20"/>
                <w:szCs w:val="20"/>
              </w:rPr>
            </w:pPr>
            <w:r w:rsidRPr="00BD256A">
              <w:rPr>
                <w:b/>
                <w:sz w:val="20"/>
                <w:szCs w:val="20"/>
              </w:rPr>
              <w:t>Policy GI51 Children’s Play Facilities – General (pg. 383)</w:t>
            </w:r>
          </w:p>
          <w:p w14:paraId="530AE4E7" w14:textId="1A15CA33" w:rsidR="00BD256A" w:rsidRPr="00BD256A" w:rsidRDefault="00BD256A" w:rsidP="00BD256A">
            <w:pPr>
              <w:rPr>
                <w:sz w:val="20"/>
                <w:szCs w:val="20"/>
              </w:rPr>
            </w:pPr>
            <w:r>
              <w:rPr>
                <w:sz w:val="20"/>
                <w:szCs w:val="20"/>
                <w:lang w:val="en-IE"/>
              </w:rPr>
              <w:t>KIN believe</w:t>
            </w:r>
            <w:r w:rsidRPr="00BD256A">
              <w:rPr>
                <w:sz w:val="20"/>
                <w:szCs w:val="20"/>
                <w:lang w:val="en-IE"/>
              </w:rPr>
              <w:t xml:space="preserve"> that this policy does not go far enough. Children have 54 legally protected rights in </w:t>
            </w:r>
            <w:r w:rsidRPr="00BD256A">
              <w:rPr>
                <w:i/>
                <w:sz w:val="20"/>
                <w:szCs w:val="20"/>
                <w:lang w:val="en-IE"/>
              </w:rPr>
              <w:t>The United Nations Convention on the Rights of the Child</w:t>
            </w:r>
            <w:r w:rsidRPr="00BD256A">
              <w:rPr>
                <w:sz w:val="20"/>
                <w:szCs w:val="20"/>
                <w:lang w:val="en-IE"/>
              </w:rPr>
              <w:t xml:space="preserve">, or </w:t>
            </w:r>
            <w:r w:rsidRPr="00BD256A">
              <w:rPr>
                <w:i/>
                <w:sz w:val="20"/>
                <w:szCs w:val="20"/>
                <w:lang w:val="en-IE"/>
              </w:rPr>
              <w:t>UNCRC</w:t>
            </w:r>
            <w:r>
              <w:rPr>
                <w:i/>
                <w:sz w:val="20"/>
                <w:szCs w:val="20"/>
                <w:lang w:val="en-IE"/>
              </w:rPr>
              <w:t>.</w:t>
            </w:r>
          </w:p>
        </w:tc>
      </w:tr>
      <w:tr w:rsidR="005B75BE" w:rsidRPr="00102688" w14:paraId="24149C9E" w14:textId="77777777" w:rsidTr="00B36723">
        <w:trPr>
          <w:trHeight w:val="1200"/>
        </w:trPr>
        <w:tc>
          <w:tcPr>
            <w:tcW w:w="426" w:type="dxa"/>
          </w:tcPr>
          <w:p w14:paraId="699C341A" w14:textId="22C24011" w:rsidR="005B75BE" w:rsidRPr="00625B5B" w:rsidRDefault="00D41B96">
            <w:pPr>
              <w:rPr>
                <w:sz w:val="18"/>
                <w:szCs w:val="18"/>
              </w:rPr>
            </w:pPr>
            <w:r>
              <w:rPr>
                <w:sz w:val="18"/>
                <w:szCs w:val="18"/>
              </w:rPr>
              <w:t>12</w:t>
            </w:r>
          </w:p>
        </w:tc>
        <w:tc>
          <w:tcPr>
            <w:tcW w:w="1417" w:type="dxa"/>
          </w:tcPr>
          <w:p w14:paraId="2887A66F" w14:textId="0F023168" w:rsidR="005B75BE" w:rsidRPr="00102688" w:rsidRDefault="005B75BE">
            <w:pPr>
              <w:rPr>
                <w:sz w:val="20"/>
                <w:szCs w:val="20"/>
              </w:rPr>
            </w:pPr>
            <w:r w:rsidRPr="00102688">
              <w:rPr>
                <w:sz w:val="20"/>
                <w:szCs w:val="20"/>
              </w:rPr>
              <w:t>10: Green Infrastructure and Recreation</w:t>
            </w:r>
          </w:p>
        </w:tc>
        <w:tc>
          <w:tcPr>
            <w:tcW w:w="1701" w:type="dxa"/>
          </w:tcPr>
          <w:p w14:paraId="7708B3C2" w14:textId="224D9A21" w:rsidR="005B75BE" w:rsidRPr="00BD256A" w:rsidRDefault="005B75BE">
            <w:pPr>
              <w:rPr>
                <w:sz w:val="20"/>
                <w:szCs w:val="20"/>
              </w:rPr>
            </w:pPr>
            <w:r w:rsidRPr="00BD256A">
              <w:rPr>
                <w:sz w:val="20"/>
                <w:szCs w:val="20"/>
                <w:lang w:val="en-IE"/>
              </w:rPr>
              <w:t xml:space="preserve">10.5.8 Policies and Objectives </w:t>
            </w:r>
            <w:r w:rsidRPr="00BD256A">
              <w:rPr>
                <w:b/>
                <w:sz w:val="20"/>
                <w:szCs w:val="20"/>
                <w:lang w:val="en-IE"/>
              </w:rPr>
              <w:t>Sport, Recreation and Play</w:t>
            </w:r>
          </w:p>
        </w:tc>
        <w:tc>
          <w:tcPr>
            <w:tcW w:w="11849" w:type="dxa"/>
          </w:tcPr>
          <w:p w14:paraId="4A88CE6D" w14:textId="3A787EE1" w:rsidR="005B75BE" w:rsidRDefault="005B75BE" w:rsidP="005B75BE">
            <w:pPr>
              <w:rPr>
                <w:b/>
                <w:sz w:val="20"/>
                <w:szCs w:val="20"/>
                <w:lang w:val="en-IE"/>
              </w:rPr>
            </w:pPr>
            <w:r>
              <w:rPr>
                <w:b/>
                <w:sz w:val="20"/>
                <w:szCs w:val="20"/>
                <w:lang w:val="en-IE"/>
              </w:rPr>
              <w:t xml:space="preserve">Policy </w:t>
            </w:r>
            <w:r w:rsidRPr="005B75BE">
              <w:rPr>
                <w:b/>
                <w:sz w:val="20"/>
                <w:szCs w:val="20"/>
                <w:lang w:val="en-IE"/>
              </w:rPr>
              <w:t>G</w:t>
            </w:r>
            <w:r w:rsidR="00291947">
              <w:rPr>
                <w:b/>
                <w:sz w:val="20"/>
                <w:szCs w:val="20"/>
                <w:lang w:val="en-IE"/>
              </w:rPr>
              <w:t>I</w:t>
            </w:r>
            <w:r w:rsidRPr="005B75BE">
              <w:rPr>
                <w:b/>
                <w:sz w:val="20"/>
                <w:szCs w:val="20"/>
                <w:lang w:val="en-IE"/>
              </w:rPr>
              <w:t>5</w:t>
            </w:r>
            <w:r w:rsidR="00B54CBE">
              <w:rPr>
                <w:b/>
                <w:sz w:val="20"/>
                <w:szCs w:val="20"/>
                <w:lang w:val="en-IE"/>
              </w:rPr>
              <w:t>2</w:t>
            </w:r>
            <w:r>
              <w:rPr>
                <w:b/>
                <w:sz w:val="20"/>
                <w:szCs w:val="20"/>
                <w:lang w:val="en-IE"/>
              </w:rPr>
              <w:t xml:space="preserve"> </w:t>
            </w:r>
            <w:r w:rsidRPr="005B75BE">
              <w:rPr>
                <w:b/>
                <w:sz w:val="20"/>
                <w:szCs w:val="20"/>
                <w:lang w:val="en-IE"/>
              </w:rPr>
              <w:t xml:space="preserve">Children’s Playing Facilities in New Residential Developments </w:t>
            </w:r>
            <w:r w:rsidR="00E95377">
              <w:rPr>
                <w:b/>
                <w:sz w:val="20"/>
                <w:szCs w:val="20"/>
                <w:lang w:val="en-IE"/>
              </w:rPr>
              <w:t>(pg. 383)</w:t>
            </w:r>
          </w:p>
          <w:p w14:paraId="4B9BA6F7" w14:textId="073DC94A" w:rsidR="005B75BE" w:rsidRPr="00ED7B99" w:rsidRDefault="005B75BE" w:rsidP="005B75BE">
            <w:pPr>
              <w:rPr>
                <w:sz w:val="20"/>
                <w:szCs w:val="20"/>
                <w:lang w:val="en-IE"/>
              </w:rPr>
            </w:pPr>
            <w:r w:rsidRPr="00ED7B99">
              <w:rPr>
                <w:i/>
                <w:sz w:val="20"/>
                <w:szCs w:val="20"/>
                <w:lang w:val="en-IE"/>
              </w:rPr>
              <w:t>To seek the provision of children’s playing facilities in new residential developments. To provide playgrounds to an appropriate standard of amenity, safety and accessibility and to create safe and accessible p</w:t>
            </w:r>
            <w:r w:rsidR="00ED7B99" w:rsidRPr="00ED7B99">
              <w:rPr>
                <w:i/>
                <w:sz w:val="20"/>
                <w:szCs w:val="20"/>
                <w:lang w:val="en-IE"/>
              </w:rPr>
              <w:t>l</w:t>
            </w:r>
            <w:r w:rsidRPr="00ED7B99">
              <w:rPr>
                <w:i/>
                <w:sz w:val="20"/>
                <w:szCs w:val="20"/>
                <w:lang w:val="en-IE"/>
              </w:rPr>
              <w:t>aces for socialising and informal play</w:t>
            </w:r>
            <w:r w:rsidR="00ED7B99" w:rsidRPr="00ED7B99">
              <w:rPr>
                <w:i/>
                <w:sz w:val="20"/>
                <w:szCs w:val="20"/>
                <w:lang w:val="en-IE"/>
              </w:rPr>
              <w:t xml:space="preserve">. </w:t>
            </w:r>
            <w:r w:rsidR="00ED7B99" w:rsidRPr="00ED7B99">
              <w:rPr>
                <w:sz w:val="20"/>
                <w:szCs w:val="20"/>
                <w:lang w:val="en-IE"/>
              </w:rPr>
              <w:t>(pg. 383)</w:t>
            </w:r>
          </w:p>
          <w:p w14:paraId="23E5059A" w14:textId="00A4578C" w:rsidR="005B75BE" w:rsidRPr="00BD256A" w:rsidRDefault="005B75BE" w:rsidP="00ED7B99">
            <w:pPr>
              <w:rPr>
                <w:b/>
                <w:sz w:val="20"/>
                <w:szCs w:val="20"/>
              </w:rPr>
            </w:pPr>
            <w:r>
              <w:rPr>
                <w:sz w:val="20"/>
                <w:szCs w:val="20"/>
                <w:lang w:val="en-IE"/>
              </w:rPr>
              <w:t xml:space="preserve">KIN </w:t>
            </w:r>
            <w:r w:rsidRPr="005B75BE">
              <w:rPr>
                <w:sz w:val="20"/>
                <w:szCs w:val="20"/>
                <w:lang w:val="en-IE"/>
              </w:rPr>
              <w:t xml:space="preserve">believes that there is incoherence between this policy and the SDRA guidelines that DO NOT specify play spaces for children up to 18 years of age. The culture of ‘no ball games’ in gated apartment buildings needs to end, and it be made clear that well designed play space for children up to 18 is not optional. </w:t>
            </w:r>
            <w:r>
              <w:rPr>
                <w:sz w:val="20"/>
                <w:szCs w:val="20"/>
                <w:lang w:val="en-IE"/>
              </w:rPr>
              <w:t xml:space="preserve"> </w:t>
            </w:r>
            <w:r w:rsidRPr="005B75BE">
              <w:rPr>
                <w:sz w:val="20"/>
                <w:szCs w:val="20"/>
                <w:lang w:val="en-IE"/>
              </w:rPr>
              <w:t xml:space="preserve">It is compliance with the law. </w:t>
            </w:r>
            <w:r>
              <w:rPr>
                <w:sz w:val="20"/>
                <w:szCs w:val="20"/>
                <w:lang w:val="en-IE"/>
              </w:rPr>
              <w:t xml:space="preserve"> </w:t>
            </w:r>
            <w:r w:rsidRPr="005B75BE">
              <w:rPr>
                <w:sz w:val="20"/>
                <w:szCs w:val="20"/>
                <w:lang w:val="en-IE"/>
              </w:rPr>
              <w:t>If a development is only 1 and 2 bed apartments and studios, this is not a valid excuse to leave out children</w:t>
            </w:r>
            <w:r>
              <w:rPr>
                <w:sz w:val="20"/>
                <w:szCs w:val="20"/>
                <w:lang w:val="en-IE"/>
              </w:rPr>
              <w:t>’</w:t>
            </w:r>
            <w:r w:rsidRPr="005B75BE">
              <w:rPr>
                <w:sz w:val="20"/>
                <w:szCs w:val="20"/>
                <w:lang w:val="en-IE"/>
              </w:rPr>
              <w:t xml:space="preserve">s play spaces. SDRA guidelines must comply with the law that protects children's right to play up to 18 years of age. </w:t>
            </w:r>
          </w:p>
        </w:tc>
      </w:tr>
      <w:tr w:rsidR="001D5FB8" w:rsidRPr="00102688" w14:paraId="03F952A9" w14:textId="77777777" w:rsidTr="00B36723">
        <w:trPr>
          <w:trHeight w:val="1200"/>
        </w:trPr>
        <w:tc>
          <w:tcPr>
            <w:tcW w:w="426" w:type="dxa"/>
          </w:tcPr>
          <w:p w14:paraId="224F3F1A" w14:textId="2B2B6CE2" w:rsidR="001D5FB8" w:rsidRPr="00625B5B" w:rsidRDefault="00D41B96">
            <w:pPr>
              <w:rPr>
                <w:sz w:val="18"/>
                <w:szCs w:val="18"/>
              </w:rPr>
            </w:pPr>
            <w:r>
              <w:rPr>
                <w:sz w:val="18"/>
                <w:szCs w:val="18"/>
              </w:rPr>
              <w:t>13</w:t>
            </w:r>
          </w:p>
        </w:tc>
        <w:tc>
          <w:tcPr>
            <w:tcW w:w="1417" w:type="dxa"/>
          </w:tcPr>
          <w:p w14:paraId="55349DB6" w14:textId="0F46887B" w:rsidR="001D5FB8" w:rsidRPr="00102688" w:rsidRDefault="001D5FB8">
            <w:pPr>
              <w:rPr>
                <w:sz w:val="20"/>
                <w:szCs w:val="20"/>
              </w:rPr>
            </w:pPr>
            <w:r w:rsidRPr="00102688">
              <w:rPr>
                <w:sz w:val="20"/>
                <w:szCs w:val="20"/>
              </w:rPr>
              <w:t>10: Green Infrastructure and Recreation</w:t>
            </w:r>
          </w:p>
        </w:tc>
        <w:tc>
          <w:tcPr>
            <w:tcW w:w="1701" w:type="dxa"/>
          </w:tcPr>
          <w:p w14:paraId="5E934414" w14:textId="59C1D722" w:rsidR="001D5FB8" w:rsidRPr="00102688" w:rsidRDefault="001D5FB8">
            <w:pPr>
              <w:rPr>
                <w:sz w:val="20"/>
                <w:szCs w:val="20"/>
              </w:rPr>
            </w:pPr>
            <w:r w:rsidRPr="00BD256A">
              <w:rPr>
                <w:sz w:val="20"/>
                <w:szCs w:val="20"/>
                <w:lang w:val="en-IE"/>
              </w:rPr>
              <w:t xml:space="preserve">10.5.8 Policies and Objectives </w:t>
            </w:r>
            <w:r w:rsidRPr="00BD256A">
              <w:rPr>
                <w:b/>
                <w:sz w:val="20"/>
                <w:szCs w:val="20"/>
                <w:lang w:val="en-IE"/>
              </w:rPr>
              <w:t>Sport, Recreation and Play</w:t>
            </w:r>
          </w:p>
        </w:tc>
        <w:tc>
          <w:tcPr>
            <w:tcW w:w="11849" w:type="dxa"/>
          </w:tcPr>
          <w:p w14:paraId="4738D2FA" w14:textId="4996D86D" w:rsidR="001D5FB8" w:rsidRDefault="001D5FB8" w:rsidP="002D2C1C">
            <w:pPr>
              <w:rPr>
                <w:b/>
                <w:sz w:val="20"/>
                <w:szCs w:val="20"/>
              </w:rPr>
            </w:pPr>
            <w:r>
              <w:rPr>
                <w:b/>
                <w:sz w:val="20"/>
                <w:szCs w:val="20"/>
              </w:rPr>
              <w:t>Objective GIO49 Play Friendly Communities</w:t>
            </w:r>
            <w:r w:rsidR="00291947">
              <w:rPr>
                <w:b/>
                <w:sz w:val="20"/>
                <w:szCs w:val="20"/>
              </w:rPr>
              <w:t xml:space="preserve"> (pg. 384)</w:t>
            </w:r>
          </w:p>
          <w:p w14:paraId="23AD8454" w14:textId="77777777" w:rsidR="001D5FB8" w:rsidRDefault="001D5FB8" w:rsidP="002D2C1C">
            <w:pPr>
              <w:rPr>
                <w:i/>
                <w:sz w:val="20"/>
                <w:szCs w:val="20"/>
              </w:rPr>
            </w:pPr>
            <w:r>
              <w:rPr>
                <w:i/>
                <w:sz w:val="20"/>
                <w:szCs w:val="20"/>
              </w:rPr>
              <w:t>To support and encourage the development of play-friendly communities that provide time and space and permission for “everyday street play” opportunities and experiences and play in urban public space (pg. 384)</w:t>
            </w:r>
          </w:p>
          <w:p w14:paraId="708795FB" w14:textId="2303DC69" w:rsidR="001D5FB8" w:rsidRPr="001D5FB8" w:rsidRDefault="001D5FB8" w:rsidP="001D5FB8">
            <w:pPr>
              <w:rPr>
                <w:sz w:val="20"/>
                <w:szCs w:val="20"/>
                <w:lang w:val="en-IE"/>
              </w:rPr>
            </w:pPr>
            <w:r>
              <w:rPr>
                <w:sz w:val="20"/>
                <w:szCs w:val="20"/>
                <w:lang w:val="en-IE"/>
              </w:rPr>
              <w:t xml:space="preserve">KIN believe </w:t>
            </w:r>
            <w:r w:rsidRPr="001D5FB8">
              <w:rPr>
                <w:sz w:val="20"/>
                <w:szCs w:val="20"/>
                <w:lang w:val="en-IE"/>
              </w:rPr>
              <w:t>that this objective does not go far enough. Children have a legally protected right to play in Article 31 of the UN Convention on Rights of the Child. The Dublin City Development Plan 2022 - 2028 must comply with the law on Children’s Rights. Objective should be to comply with and implement the law of the UN Convention on the Rights of the Child - specifically with regard to Article 31 not just to be play friendly.</w:t>
            </w:r>
          </w:p>
          <w:p w14:paraId="1C91ABF5" w14:textId="14169227" w:rsidR="001D5FB8" w:rsidRPr="001D5FB8" w:rsidRDefault="00141D9A" w:rsidP="001D5FB8">
            <w:pPr>
              <w:rPr>
                <w:sz w:val="20"/>
                <w:szCs w:val="20"/>
                <w:lang w:val="en-IE"/>
              </w:rPr>
            </w:pPr>
            <w:r>
              <w:rPr>
                <w:sz w:val="20"/>
                <w:szCs w:val="20"/>
                <w:lang w:val="en-IE"/>
              </w:rPr>
              <w:t xml:space="preserve">Article 31 states: </w:t>
            </w:r>
          </w:p>
          <w:p w14:paraId="1B7E8D87" w14:textId="6F93614F" w:rsidR="001D5FB8" w:rsidRPr="001D5FB8" w:rsidRDefault="00141D9A" w:rsidP="001D5FB8">
            <w:pPr>
              <w:rPr>
                <w:sz w:val="20"/>
                <w:szCs w:val="20"/>
                <w:lang w:val="en-IE"/>
              </w:rPr>
            </w:pPr>
            <w:r>
              <w:rPr>
                <w:sz w:val="20"/>
                <w:szCs w:val="20"/>
                <w:lang w:val="en-IE"/>
              </w:rPr>
              <w:t xml:space="preserve">1. </w:t>
            </w:r>
            <w:r w:rsidR="001D5FB8" w:rsidRPr="001D5FB8">
              <w:rPr>
                <w:sz w:val="20"/>
                <w:szCs w:val="20"/>
                <w:lang w:val="en-IE"/>
              </w:rPr>
              <w:t xml:space="preserve">Parties recognize the right of the child to rest and leisure, to engage in play and recreational activities appropriate to the age of the child and to participate freely in cultural life and the arts. </w:t>
            </w:r>
          </w:p>
          <w:p w14:paraId="61083E5F" w14:textId="186538DA" w:rsidR="001D5FB8" w:rsidRPr="001D5FB8" w:rsidRDefault="001D5FB8" w:rsidP="001D5FB8">
            <w:pPr>
              <w:rPr>
                <w:sz w:val="20"/>
                <w:szCs w:val="20"/>
                <w:lang w:val="en-IE"/>
              </w:rPr>
            </w:pPr>
            <w:r w:rsidRPr="001D5FB8">
              <w:rPr>
                <w:sz w:val="20"/>
                <w:szCs w:val="20"/>
                <w:lang w:val="en-IE"/>
              </w:rPr>
              <w:t>2. Parties shall respect and promote the right of the child to participate fully in cultural and artistic life and shall encourage the provision of appropriate and equal opportunities for cultural, artistic, recreational and leisure activity.</w:t>
            </w:r>
          </w:p>
          <w:p w14:paraId="52A7A1DC" w14:textId="0D918BD1" w:rsidR="001D5FB8" w:rsidRPr="001D5FB8" w:rsidRDefault="001D5FB8" w:rsidP="002D2C1C">
            <w:pPr>
              <w:rPr>
                <w:sz w:val="20"/>
                <w:szCs w:val="20"/>
              </w:rPr>
            </w:pPr>
          </w:p>
        </w:tc>
      </w:tr>
      <w:tr w:rsidR="00625B5B" w:rsidRPr="00102688" w14:paraId="630DAA90" w14:textId="77777777" w:rsidTr="00B36723">
        <w:trPr>
          <w:trHeight w:val="1200"/>
        </w:trPr>
        <w:tc>
          <w:tcPr>
            <w:tcW w:w="426" w:type="dxa"/>
          </w:tcPr>
          <w:p w14:paraId="7382FD9C" w14:textId="4B782CFA" w:rsidR="00625B5B" w:rsidRPr="00625B5B" w:rsidRDefault="00D41B96">
            <w:pPr>
              <w:rPr>
                <w:sz w:val="18"/>
                <w:szCs w:val="18"/>
              </w:rPr>
            </w:pPr>
            <w:r>
              <w:rPr>
                <w:sz w:val="18"/>
                <w:szCs w:val="18"/>
              </w:rPr>
              <w:t>14</w:t>
            </w:r>
          </w:p>
        </w:tc>
        <w:tc>
          <w:tcPr>
            <w:tcW w:w="1417" w:type="dxa"/>
            <w:hideMark/>
          </w:tcPr>
          <w:p w14:paraId="33C8F831" w14:textId="0C67570B" w:rsidR="00625B5B" w:rsidRPr="00102688" w:rsidRDefault="00625B5B">
            <w:pPr>
              <w:rPr>
                <w:sz w:val="20"/>
                <w:szCs w:val="20"/>
              </w:rPr>
            </w:pPr>
            <w:r w:rsidRPr="00102688">
              <w:rPr>
                <w:sz w:val="20"/>
                <w:szCs w:val="20"/>
              </w:rPr>
              <w:t>11: Built Heritage and Archaeology</w:t>
            </w:r>
          </w:p>
        </w:tc>
        <w:tc>
          <w:tcPr>
            <w:tcW w:w="1701" w:type="dxa"/>
            <w:hideMark/>
          </w:tcPr>
          <w:p w14:paraId="3FE633C3" w14:textId="77777777" w:rsidR="00625B5B" w:rsidRPr="00102688" w:rsidRDefault="00625B5B">
            <w:pPr>
              <w:rPr>
                <w:sz w:val="20"/>
                <w:szCs w:val="20"/>
              </w:rPr>
            </w:pPr>
            <w:r w:rsidRPr="00102688">
              <w:rPr>
                <w:sz w:val="20"/>
                <w:szCs w:val="20"/>
              </w:rPr>
              <w:t>11.5.3 Built Heritage Assets of the City</w:t>
            </w:r>
          </w:p>
        </w:tc>
        <w:tc>
          <w:tcPr>
            <w:tcW w:w="11849" w:type="dxa"/>
            <w:hideMark/>
          </w:tcPr>
          <w:p w14:paraId="28E42943" w14:textId="56DB8B5D" w:rsidR="000138F7" w:rsidRPr="000138F7" w:rsidRDefault="00625B5B" w:rsidP="002D2C1C">
            <w:pPr>
              <w:rPr>
                <w:b/>
                <w:sz w:val="20"/>
                <w:szCs w:val="20"/>
              </w:rPr>
            </w:pPr>
            <w:r w:rsidRPr="000138F7">
              <w:rPr>
                <w:b/>
                <w:sz w:val="20"/>
                <w:szCs w:val="20"/>
              </w:rPr>
              <w:t xml:space="preserve">Policy BHA12 </w:t>
            </w:r>
            <w:r w:rsidR="000138F7">
              <w:rPr>
                <w:b/>
                <w:sz w:val="20"/>
                <w:szCs w:val="20"/>
              </w:rPr>
              <w:t xml:space="preserve">- </w:t>
            </w:r>
            <w:r w:rsidRPr="000138F7">
              <w:rPr>
                <w:b/>
                <w:sz w:val="20"/>
                <w:szCs w:val="20"/>
              </w:rPr>
              <w:t xml:space="preserve">Industrial, Military and Maritime, Canal Side and Rural Heritage </w:t>
            </w:r>
          </w:p>
          <w:p w14:paraId="21FC2A52" w14:textId="7D00BF2E" w:rsidR="000138F7" w:rsidRDefault="00625B5B" w:rsidP="002D2C1C">
            <w:pPr>
              <w:rPr>
                <w:sz w:val="20"/>
                <w:szCs w:val="20"/>
              </w:rPr>
            </w:pPr>
            <w:r w:rsidRPr="000138F7">
              <w:rPr>
                <w:i/>
                <w:sz w:val="20"/>
                <w:szCs w:val="20"/>
              </w:rPr>
              <w:t>To promote the awareness of Dublin's industrial, military... Heritage</w:t>
            </w:r>
            <w:r w:rsidR="000138F7" w:rsidRPr="00102688">
              <w:rPr>
                <w:sz w:val="20"/>
                <w:szCs w:val="20"/>
              </w:rPr>
              <w:t xml:space="preserve"> (pg. 411)</w:t>
            </w:r>
            <w:r w:rsidRPr="00102688">
              <w:rPr>
                <w:sz w:val="20"/>
                <w:szCs w:val="20"/>
              </w:rPr>
              <w:t xml:space="preserve">  </w:t>
            </w:r>
          </w:p>
          <w:p w14:paraId="7D5C9002" w14:textId="71BBAE8F" w:rsidR="00625B5B" w:rsidRPr="00102688" w:rsidRDefault="00625B5B" w:rsidP="000138F7">
            <w:pPr>
              <w:rPr>
                <w:sz w:val="20"/>
                <w:szCs w:val="20"/>
              </w:rPr>
            </w:pPr>
            <w:r w:rsidRPr="00102688">
              <w:rPr>
                <w:sz w:val="20"/>
                <w:szCs w:val="20"/>
              </w:rPr>
              <w:t xml:space="preserve">Given the level of industrial heritage within the Kilmainham and Inchicore Areas KIN supports this initiative.  KIN would like to see particular reference to supporting the </w:t>
            </w:r>
            <w:r w:rsidR="000138F7">
              <w:rPr>
                <w:sz w:val="20"/>
                <w:szCs w:val="20"/>
              </w:rPr>
              <w:t>(a</w:t>
            </w:r>
            <w:r w:rsidRPr="002D2C1C">
              <w:rPr>
                <w:sz w:val="20"/>
                <w:szCs w:val="20"/>
              </w:rPr>
              <w:t xml:space="preserve">) </w:t>
            </w:r>
            <w:r w:rsidR="00716F9C" w:rsidRPr="002D2C1C">
              <w:rPr>
                <w:sz w:val="20"/>
                <w:szCs w:val="20"/>
              </w:rPr>
              <w:t xml:space="preserve">restoration of the Camac River (b) </w:t>
            </w:r>
            <w:r w:rsidR="00C561A1" w:rsidRPr="002D2C1C">
              <w:rPr>
                <w:sz w:val="20"/>
                <w:szCs w:val="20"/>
              </w:rPr>
              <w:t xml:space="preserve">restoration of Kilmainham Mill </w:t>
            </w:r>
            <w:r w:rsidR="00716F9C" w:rsidRPr="002D2C1C">
              <w:rPr>
                <w:sz w:val="20"/>
                <w:szCs w:val="20"/>
              </w:rPr>
              <w:t xml:space="preserve">(c) </w:t>
            </w:r>
            <w:r w:rsidRPr="002D2C1C">
              <w:rPr>
                <w:sz w:val="20"/>
                <w:szCs w:val="20"/>
              </w:rPr>
              <w:t xml:space="preserve">a Transport Museum at CIE Inchicore </w:t>
            </w:r>
            <w:r w:rsidR="00C561A1" w:rsidRPr="002D2C1C">
              <w:rPr>
                <w:sz w:val="20"/>
                <w:szCs w:val="20"/>
              </w:rPr>
              <w:t>(</w:t>
            </w:r>
            <w:r w:rsidR="00716F9C" w:rsidRPr="002D2C1C">
              <w:rPr>
                <w:sz w:val="20"/>
                <w:szCs w:val="20"/>
              </w:rPr>
              <w:t>d</w:t>
            </w:r>
            <w:r w:rsidR="00C561A1" w:rsidRPr="002D2C1C">
              <w:rPr>
                <w:sz w:val="20"/>
                <w:szCs w:val="20"/>
              </w:rPr>
              <w:t xml:space="preserve">) </w:t>
            </w:r>
            <w:r w:rsidRPr="002D2C1C">
              <w:rPr>
                <w:sz w:val="20"/>
                <w:szCs w:val="20"/>
              </w:rPr>
              <w:t>the repurposing of Kilmainham Garda Station, Old Kilmainham</w:t>
            </w:r>
            <w:r w:rsidR="002D2C1C">
              <w:rPr>
                <w:sz w:val="20"/>
                <w:szCs w:val="20"/>
              </w:rPr>
              <w:t>.</w:t>
            </w:r>
          </w:p>
        </w:tc>
      </w:tr>
      <w:tr w:rsidR="00625B5B" w:rsidRPr="00102688" w14:paraId="16FA9C5E" w14:textId="77777777" w:rsidTr="00B36723">
        <w:trPr>
          <w:trHeight w:val="600"/>
        </w:trPr>
        <w:tc>
          <w:tcPr>
            <w:tcW w:w="426" w:type="dxa"/>
          </w:tcPr>
          <w:p w14:paraId="06F94B8B" w14:textId="79E3DEAE" w:rsidR="00625B5B" w:rsidRPr="00625B5B" w:rsidRDefault="00D41B96">
            <w:pPr>
              <w:rPr>
                <w:sz w:val="18"/>
                <w:szCs w:val="18"/>
              </w:rPr>
            </w:pPr>
            <w:r>
              <w:rPr>
                <w:sz w:val="18"/>
                <w:szCs w:val="18"/>
              </w:rPr>
              <w:t>15</w:t>
            </w:r>
          </w:p>
        </w:tc>
        <w:tc>
          <w:tcPr>
            <w:tcW w:w="1417" w:type="dxa"/>
            <w:hideMark/>
          </w:tcPr>
          <w:p w14:paraId="1E5550AC" w14:textId="034847DB" w:rsidR="00625B5B" w:rsidRPr="00102688" w:rsidRDefault="00625B5B">
            <w:pPr>
              <w:rPr>
                <w:sz w:val="20"/>
                <w:szCs w:val="20"/>
              </w:rPr>
            </w:pPr>
            <w:r w:rsidRPr="00102688">
              <w:rPr>
                <w:sz w:val="20"/>
                <w:szCs w:val="20"/>
              </w:rPr>
              <w:t>12: Culture</w:t>
            </w:r>
          </w:p>
        </w:tc>
        <w:tc>
          <w:tcPr>
            <w:tcW w:w="1701" w:type="dxa"/>
            <w:hideMark/>
          </w:tcPr>
          <w:p w14:paraId="4A04A1B6" w14:textId="77777777" w:rsidR="00625B5B" w:rsidRPr="00102688" w:rsidRDefault="00625B5B">
            <w:pPr>
              <w:rPr>
                <w:sz w:val="20"/>
                <w:szCs w:val="20"/>
              </w:rPr>
            </w:pPr>
            <w:r w:rsidRPr="00102688">
              <w:rPr>
                <w:sz w:val="20"/>
                <w:szCs w:val="20"/>
              </w:rPr>
              <w:t>12.5.2 Cultural Hubs and Quarters</w:t>
            </w:r>
          </w:p>
        </w:tc>
        <w:tc>
          <w:tcPr>
            <w:tcW w:w="11849" w:type="dxa"/>
            <w:hideMark/>
          </w:tcPr>
          <w:p w14:paraId="2EBCAB0B" w14:textId="11F8EB88" w:rsidR="00625B5B" w:rsidRPr="00102688" w:rsidRDefault="00625B5B">
            <w:pPr>
              <w:rPr>
                <w:sz w:val="20"/>
                <w:szCs w:val="20"/>
              </w:rPr>
            </w:pPr>
            <w:r w:rsidRPr="00102688">
              <w:rPr>
                <w:sz w:val="20"/>
                <w:szCs w:val="20"/>
              </w:rPr>
              <w:t xml:space="preserve">Suggestion that another objective is added, similar to </w:t>
            </w:r>
            <w:r w:rsidR="00291947" w:rsidRPr="00291947">
              <w:rPr>
                <w:b/>
                <w:sz w:val="20"/>
                <w:szCs w:val="20"/>
              </w:rPr>
              <w:t xml:space="preserve">Objective </w:t>
            </w:r>
            <w:r w:rsidRPr="00291947">
              <w:rPr>
                <w:b/>
                <w:sz w:val="20"/>
                <w:szCs w:val="20"/>
              </w:rPr>
              <w:t>CUO14</w:t>
            </w:r>
            <w:r w:rsidRPr="00102688">
              <w:rPr>
                <w:sz w:val="20"/>
                <w:szCs w:val="20"/>
              </w:rPr>
              <w:t xml:space="preserve"> but </w:t>
            </w:r>
            <w:r w:rsidRPr="002D2C1C">
              <w:rPr>
                <w:sz w:val="20"/>
                <w:szCs w:val="20"/>
              </w:rPr>
              <w:t xml:space="preserve">relates to </w:t>
            </w:r>
            <w:r w:rsidR="00716F9C" w:rsidRPr="002D2C1C">
              <w:rPr>
                <w:sz w:val="20"/>
                <w:szCs w:val="20"/>
              </w:rPr>
              <w:t>exploring the opportunity</w:t>
            </w:r>
            <w:r w:rsidRPr="002D2C1C">
              <w:rPr>
                <w:sz w:val="20"/>
                <w:szCs w:val="20"/>
              </w:rPr>
              <w:t xml:space="preserve"> </w:t>
            </w:r>
            <w:r w:rsidR="00716F9C" w:rsidRPr="002D2C1C">
              <w:rPr>
                <w:sz w:val="20"/>
                <w:szCs w:val="20"/>
              </w:rPr>
              <w:t xml:space="preserve">for a re-purposed </w:t>
            </w:r>
            <w:r w:rsidRPr="002D2C1C">
              <w:rPr>
                <w:sz w:val="20"/>
                <w:szCs w:val="20"/>
              </w:rPr>
              <w:t>Kilmainham Garda Station</w:t>
            </w:r>
            <w:r w:rsidR="00716F9C" w:rsidRPr="002D2C1C">
              <w:rPr>
                <w:sz w:val="20"/>
                <w:szCs w:val="20"/>
              </w:rPr>
              <w:t xml:space="preserve"> as a shared resource for IMMA/RHK, Kilmainham Gaol and Kilmainham Mill</w:t>
            </w:r>
            <w:r w:rsidRPr="002D2C1C">
              <w:rPr>
                <w:sz w:val="20"/>
                <w:szCs w:val="20"/>
              </w:rPr>
              <w:t xml:space="preserve"> </w:t>
            </w:r>
            <w:r w:rsidR="00716F9C" w:rsidRPr="002D2C1C">
              <w:rPr>
                <w:sz w:val="20"/>
                <w:szCs w:val="20"/>
              </w:rPr>
              <w:t xml:space="preserve">which will </w:t>
            </w:r>
            <w:r w:rsidRPr="002D2C1C">
              <w:rPr>
                <w:sz w:val="20"/>
                <w:szCs w:val="20"/>
              </w:rPr>
              <w:t>support</w:t>
            </w:r>
            <w:r w:rsidR="00716F9C" w:rsidRPr="002D2C1C">
              <w:rPr>
                <w:sz w:val="20"/>
                <w:szCs w:val="20"/>
              </w:rPr>
              <w:t xml:space="preserve"> </w:t>
            </w:r>
            <w:r w:rsidRPr="00102688">
              <w:rPr>
                <w:sz w:val="20"/>
                <w:szCs w:val="20"/>
              </w:rPr>
              <w:t>any future proposal that a museum/heritage facility be located there (pg. 443)</w:t>
            </w:r>
          </w:p>
        </w:tc>
      </w:tr>
      <w:tr w:rsidR="00625B5B" w:rsidRPr="00102688" w14:paraId="33DC523C" w14:textId="77777777" w:rsidTr="00B36723">
        <w:trPr>
          <w:trHeight w:val="600"/>
        </w:trPr>
        <w:tc>
          <w:tcPr>
            <w:tcW w:w="426" w:type="dxa"/>
          </w:tcPr>
          <w:p w14:paraId="6AE14E7E" w14:textId="67DC3BD3" w:rsidR="00625B5B" w:rsidRPr="00625B5B" w:rsidRDefault="00D41B96">
            <w:pPr>
              <w:rPr>
                <w:sz w:val="18"/>
                <w:szCs w:val="18"/>
              </w:rPr>
            </w:pPr>
            <w:r>
              <w:rPr>
                <w:sz w:val="18"/>
                <w:szCs w:val="18"/>
              </w:rPr>
              <w:t>16</w:t>
            </w:r>
          </w:p>
        </w:tc>
        <w:tc>
          <w:tcPr>
            <w:tcW w:w="1417" w:type="dxa"/>
            <w:hideMark/>
          </w:tcPr>
          <w:p w14:paraId="274D6DAF" w14:textId="24D3C2B5" w:rsidR="00625B5B" w:rsidRPr="00102688" w:rsidRDefault="00625B5B">
            <w:pPr>
              <w:rPr>
                <w:sz w:val="20"/>
                <w:szCs w:val="20"/>
              </w:rPr>
            </w:pPr>
            <w:r w:rsidRPr="00102688">
              <w:rPr>
                <w:sz w:val="20"/>
                <w:szCs w:val="20"/>
              </w:rPr>
              <w:t>12: Culture</w:t>
            </w:r>
          </w:p>
        </w:tc>
        <w:tc>
          <w:tcPr>
            <w:tcW w:w="1701" w:type="dxa"/>
            <w:hideMark/>
          </w:tcPr>
          <w:p w14:paraId="60759A81" w14:textId="77777777" w:rsidR="00625B5B" w:rsidRPr="00102688" w:rsidRDefault="00625B5B">
            <w:pPr>
              <w:rPr>
                <w:sz w:val="20"/>
                <w:szCs w:val="20"/>
              </w:rPr>
            </w:pPr>
            <w:r w:rsidRPr="00102688">
              <w:rPr>
                <w:sz w:val="20"/>
                <w:szCs w:val="20"/>
              </w:rPr>
              <w:t>12.5.2 Cultural Hubs and Quarters</w:t>
            </w:r>
          </w:p>
        </w:tc>
        <w:tc>
          <w:tcPr>
            <w:tcW w:w="11849" w:type="dxa"/>
            <w:hideMark/>
          </w:tcPr>
          <w:p w14:paraId="1AB52F17" w14:textId="1CC0E51D" w:rsidR="00625B5B" w:rsidRPr="00102688" w:rsidRDefault="00625B5B" w:rsidP="00A54CC0">
            <w:pPr>
              <w:rPr>
                <w:sz w:val="20"/>
                <w:szCs w:val="20"/>
              </w:rPr>
            </w:pPr>
            <w:r w:rsidRPr="00102688">
              <w:rPr>
                <w:sz w:val="20"/>
                <w:szCs w:val="20"/>
              </w:rPr>
              <w:t xml:space="preserve">Suggestion that another objective is added, similar to </w:t>
            </w:r>
            <w:r w:rsidR="00291947" w:rsidRPr="00291947">
              <w:rPr>
                <w:b/>
                <w:sz w:val="20"/>
                <w:szCs w:val="20"/>
              </w:rPr>
              <w:t xml:space="preserve">Objective </w:t>
            </w:r>
            <w:r w:rsidRPr="00291947">
              <w:rPr>
                <w:b/>
                <w:sz w:val="20"/>
                <w:szCs w:val="20"/>
              </w:rPr>
              <w:t>CUO14</w:t>
            </w:r>
            <w:r w:rsidRPr="00102688">
              <w:rPr>
                <w:sz w:val="20"/>
                <w:szCs w:val="20"/>
              </w:rPr>
              <w:t xml:space="preserve"> but relates to the addition of the Michael Scott designed Chassis Factory, Jamestown Road - suppo</w:t>
            </w:r>
            <w:r w:rsidR="00A54CC0">
              <w:rPr>
                <w:sz w:val="20"/>
                <w:szCs w:val="20"/>
              </w:rPr>
              <w:t>rting any future proposal that this space be repurposed</w:t>
            </w:r>
            <w:r w:rsidRPr="00102688">
              <w:rPr>
                <w:sz w:val="20"/>
                <w:szCs w:val="20"/>
              </w:rPr>
              <w:t xml:space="preserve"> (pg. 443)</w:t>
            </w:r>
          </w:p>
        </w:tc>
      </w:tr>
      <w:tr w:rsidR="00625B5B" w:rsidRPr="00102688" w14:paraId="561999AE" w14:textId="77777777" w:rsidTr="00B36723">
        <w:trPr>
          <w:trHeight w:val="885"/>
        </w:trPr>
        <w:tc>
          <w:tcPr>
            <w:tcW w:w="426" w:type="dxa"/>
          </w:tcPr>
          <w:p w14:paraId="21A85620" w14:textId="6EB91795" w:rsidR="00625B5B" w:rsidRPr="00625B5B" w:rsidRDefault="00D41B96">
            <w:pPr>
              <w:rPr>
                <w:sz w:val="18"/>
                <w:szCs w:val="18"/>
              </w:rPr>
            </w:pPr>
            <w:r>
              <w:rPr>
                <w:sz w:val="18"/>
                <w:szCs w:val="18"/>
              </w:rPr>
              <w:lastRenderedPageBreak/>
              <w:t>17</w:t>
            </w:r>
          </w:p>
        </w:tc>
        <w:tc>
          <w:tcPr>
            <w:tcW w:w="1417" w:type="dxa"/>
            <w:hideMark/>
          </w:tcPr>
          <w:p w14:paraId="264B8936" w14:textId="608D23EE" w:rsidR="00625B5B" w:rsidRPr="00102688" w:rsidRDefault="00625B5B">
            <w:pPr>
              <w:rPr>
                <w:sz w:val="20"/>
                <w:szCs w:val="20"/>
              </w:rPr>
            </w:pPr>
            <w:r w:rsidRPr="00102688">
              <w:rPr>
                <w:sz w:val="20"/>
                <w:szCs w:val="20"/>
              </w:rPr>
              <w:t>12: Culture</w:t>
            </w:r>
          </w:p>
        </w:tc>
        <w:tc>
          <w:tcPr>
            <w:tcW w:w="1701" w:type="dxa"/>
            <w:hideMark/>
          </w:tcPr>
          <w:p w14:paraId="3ADBA60C" w14:textId="77777777" w:rsidR="00625B5B" w:rsidRPr="00102688" w:rsidRDefault="00625B5B">
            <w:pPr>
              <w:rPr>
                <w:sz w:val="20"/>
                <w:szCs w:val="20"/>
              </w:rPr>
            </w:pPr>
            <w:r w:rsidRPr="00102688">
              <w:rPr>
                <w:sz w:val="20"/>
                <w:szCs w:val="20"/>
              </w:rPr>
              <w:t>12.5.3 Supporting Cultural Vibrancy in the City</w:t>
            </w:r>
          </w:p>
        </w:tc>
        <w:tc>
          <w:tcPr>
            <w:tcW w:w="11849" w:type="dxa"/>
            <w:hideMark/>
          </w:tcPr>
          <w:p w14:paraId="67A9067D" w14:textId="1A1D3734" w:rsidR="00291947" w:rsidRDefault="00625B5B">
            <w:pPr>
              <w:rPr>
                <w:sz w:val="20"/>
                <w:szCs w:val="20"/>
              </w:rPr>
            </w:pPr>
            <w:r w:rsidRPr="00291947">
              <w:rPr>
                <w:b/>
                <w:sz w:val="20"/>
                <w:szCs w:val="20"/>
              </w:rPr>
              <w:t>Policy CUO25 - Reuse of Vacant Space (pg</w:t>
            </w:r>
            <w:r w:rsidR="00291947">
              <w:rPr>
                <w:b/>
                <w:sz w:val="20"/>
                <w:szCs w:val="20"/>
              </w:rPr>
              <w:t xml:space="preserve">. </w:t>
            </w:r>
            <w:r w:rsidRPr="00291947">
              <w:rPr>
                <w:b/>
                <w:sz w:val="20"/>
                <w:szCs w:val="20"/>
              </w:rPr>
              <w:t>448</w:t>
            </w:r>
            <w:r w:rsidRPr="00102688">
              <w:rPr>
                <w:sz w:val="20"/>
                <w:szCs w:val="20"/>
              </w:rPr>
              <w:t xml:space="preserve">)  </w:t>
            </w:r>
          </w:p>
          <w:p w14:paraId="6A30ECD2" w14:textId="335DA46E" w:rsidR="00291947" w:rsidRPr="00291947" w:rsidRDefault="00625B5B">
            <w:pPr>
              <w:rPr>
                <w:sz w:val="20"/>
                <w:szCs w:val="20"/>
              </w:rPr>
            </w:pPr>
            <w:r w:rsidRPr="00291947">
              <w:rPr>
                <w:i/>
                <w:sz w:val="20"/>
                <w:szCs w:val="20"/>
              </w:rPr>
              <w:t>The City Arts Office in partnership with the Planning Dept. continue its role as broker between owners of unused premises encouraging the uptake of such spaces for artistic and cultural purposes for both short term and longer term use</w:t>
            </w:r>
            <w:r w:rsidRPr="00291947">
              <w:rPr>
                <w:sz w:val="20"/>
                <w:szCs w:val="20"/>
              </w:rPr>
              <w:t>.</w:t>
            </w:r>
            <w:r w:rsidR="00291947" w:rsidRPr="00291947">
              <w:rPr>
                <w:sz w:val="20"/>
                <w:szCs w:val="20"/>
              </w:rPr>
              <w:t>(pg.448)</w:t>
            </w:r>
            <w:r w:rsidRPr="00291947">
              <w:rPr>
                <w:sz w:val="20"/>
                <w:szCs w:val="20"/>
              </w:rPr>
              <w:t xml:space="preserve">  </w:t>
            </w:r>
          </w:p>
          <w:p w14:paraId="177DF480" w14:textId="7155231C" w:rsidR="00625B5B" w:rsidRPr="00102688" w:rsidRDefault="00625B5B">
            <w:pPr>
              <w:rPr>
                <w:sz w:val="20"/>
                <w:szCs w:val="20"/>
              </w:rPr>
            </w:pPr>
            <w:r w:rsidRPr="00102688">
              <w:rPr>
                <w:sz w:val="20"/>
                <w:szCs w:val="20"/>
              </w:rPr>
              <w:t xml:space="preserve">KIN welcome this initiative and suggest such a use for Inchicore Library Building, Emmet Road. </w:t>
            </w:r>
          </w:p>
        </w:tc>
      </w:tr>
      <w:tr w:rsidR="00625B5B" w:rsidRPr="00102688" w14:paraId="2B8F87D9" w14:textId="77777777" w:rsidTr="00B36723">
        <w:trPr>
          <w:trHeight w:val="885"/>
        </w:trPr>
        <w:tc>
          <w:tcPr>
            <w:tcW w:w="426" w:type="dxa"/>
          </w:tcPr>
          <w:p w14:paraId="6C9E0A30" w14:textId="1B499EE0" w:rsidR="00625B5B" w:rsidRPr="00625B5B" w:rsidRDefault="00D41B96">
            <w:pPr>
              <w:rPr>
                <w:sz w:val="18"/>
                <w:szCs w:val="18"/>
              </w:rPr>
            </w:pPr>
            <w:r>
              <w:rPr>
                <w:sz w:val="18"/>
                <w:szCs w:val="18"/>
              </w:rPr>
              <w:t>18</w:t>
            </w:r>
          </w:p>
        </w:tc>
        <w:tc>
          <w:tcPr>
            <w:tcW w:w="1417" w:type="dxa"/>
            <w:hideMark/>
          </w:tcPr>
          <w:p w14:paraId="2F29977B" w14:textId="51FCDC58" w:rsidR="00625B5B" w:rsidRPr="00102688" w:rsidRDefault="00625B5B">
            <w:pPr>
              <w:rPr>
                <w:sz w:val="20"/>
                <w:szCs w:val="20"/>
              </w:rPr>
            </w:pPr>
            <w:r w:rsidRPr="00102688">
              <w:rPr>
                <w:sz w:val="20"/>
                <w:szCs w:val="20"/>
              </w:rPr>
              <w:t>13. SDRA 7 Heuston and Environs</w:t>
            </w:r>
          </w:p>
        </w:tc>
        <w:tc>
          <w:tcPr>
            <w:tcW w:w="1701" w:type="dxa"/>
            <w:hideMark/>
          </w:tcPr>
          <w:p w14:paraId="69A51968" w14:textId="32CAE3FC" w:rsidR="00625B5B" w:rsidRPr="00102688" w:rsidRDefault="00625B5B" w:rsidP="00102688">
            <w:pPr>
              <w:rPr>
                <w:sz w:val="20"/>
                <w:szCs w:val="20"/>
              </w:rPr>
            </w:pPr>
            <w:r w:rsidRPr="00102688">
              <w:rPr>
                <w:sz w:val="20"/>
                <w:szCs w:val="20"/>
              </w:rPr>
              <w:t xml:space="preserve">13.9 SDRA 7 - Heuston and Environs  </w:t>
            </w:r>
          </w:p>
        </w:tc>
        <w:tc>
          <w:tcPr>
            <w:tcW w:w="11849" w:type="dxa"/>
            <w:hideMark/>
          </w:tcPr>
          <w:p w14:paraId="338FF3B8" w14:textId="77777777" w:rsidR="0083482E" w:rsidRDefault="00625B5B" w:rsidP="00102688">
            <w:pPr>
              <w:rPr>
                <w:sz w:val="20"/>
                <w:szCs w:val="20"/>
              </w:rPr>
            </w:pPr>
            <w:r w:rsidRPr="00102688">
              <w:rPr>
                <w:sz w:val="20"/>
                <w:szCs w:val="20"/>
              </w:rPr>
              <w:t xml:space="preserve">Add to </w:t>
            </w:r>
            <w:r w:rsidRPr="0083482E">
              <w:rPr>
                <w:b/>
                <w:sz w:val="20"/>
                <w:szCs w:val="20"/>
              </w:rPr>
              <w:t>Movement Section</w:t>
            </w:r>
            <w:r w:rsidRPr="00102688">
              <w:rPr>
                <w:sz w:val="20"/>
                <w:szCs w:val="20"/>
              </w:rPr>
              <w:t xml:space="preserve"> (pg. 527)- </w:t>
            </w:r>
          </w:p>
          <w:p w14:paraId="7DCC8ECF" w14:textId="6C6D2E23" w:rsidR="00625B5B" w:rsidRPr="00102688" w:rsidRDefault="00625B5B" w:rsidP="00102688">
            <w:pPr>
              <w:rPr>
                <w:sz w:val="20"/>
                <w:szCs w:val="20"/>
              </w:rPr>
            </w:pPr>
            <w:r w:rsidRPr="00102688">
              <w:rPr>
                <w:sz w:val="20"/>
                <w:szCs w:val="20"/>
              </w:rPr>
              <w:t xml:space="preserve">"to facilitate the delivery of bridge from back of Kilmainham Gaol and Courthouse over the Camac River " </w:t>
            </w:r>
          </w:p>
        </w:tc>
      </w:tr>
      <w:tr w:rsidR="00625B5B" w:rsidRPr="00102688" w14:paraId="0515ABE4" w14:textId="77777777" w:rsidTr="00B36723">
        <w:trPr>
          <w:trHeight w:val="900"/>
        </w:trPr>
        <w:tc>
          <w:tcPr>
            <w:tcW w:w="426" w:type="dxa"/>
          </w:tcPr>
          <w:p w14:paraId="5795E1CF" w14:textId="48B91872" w:rsidR="00625B5B" w:rsidRPr="00625B5B" w:rsidRDefault="00625B5B">
            <w:pPr>
              <w:rPr>
                <w:sz w:val="16"/>
                <w:szCs w:val="16"/>
              </w:rPr>
            </w:pPr>
            <w:r w:rsidRPr="00625B5B">
              <w:rPr>
                <w:sz w:val="16"/>
                <w:szCs w:val="16"/>
              </w:rPr>
              <w:t>1</w:t>
            </w:r>
            <w:r w:rsidR="00D41B96">
              <w:rPr>
                <w:sz w:val="16"/>
                <w:szCs w:val="16"/>
              </w:rPr>
              <w:t>9</w:t>
            </w:r>
          </w:p>
        </w:tc>
        <w:tc>
          <w:tcPr>
            <w:tcW w:w="1417" w:type="dxa"/>
            <w:hideMark/>
          </w:tcPr>
          <w:p w14:paraId="3C5B51FF" w14:textId="05F9B4B3" w:rsidR="00625B5B" w:rsidRPr="00102688" w:rsidRDefault="00625B5B">
            <w:pPr>
              <w:rPr>
                <w:sz w:val="20"/>
                <w:szCs w:val="20"/>
              </w:rPr>
            </w:pPr>
            <w:r w:rsidRPr="00102688">
              <w:rPr>
                <w:sz w:val="20"/>
                <w:szCs w:val="20"/>
              </w:rPr>
              <w:t>13. SDRA 7 Heuston and Environs</w:t>
            </w:r>
          </w:p>
        </w:tc>
        <w:tc>
          <w:tcPr>
            <w:tcW w:w="1701" w:type="dxa"/>
            <w:hideMark/>
          </w:tcPr>
          <w:p w14:paraId="16656607" w14:textId="77777777" w:rsidR="00625B5B" w:rsidRPr="00102688" w:rsidRDefault="00625B5B">
            <w:pPr>
              <w:rPr>
                <w:sz w:val="20"/>
                <w:szCs w:val="20"/>
              </w:rPr>
            </w:pPr>
            <w:r w:rsidRPr="00102688">
              <w:rPr>
                <w:sz w:val="20"/>
                <w:szCs w:val="20"/>
              </w:rPr>
              <w:t>13.9 - Garda Station at Kilmainham</w:t>
            </w:r>
          </w:p>
        </w:tc>
        <w:tc>
          <w:tcPr>
            <w:tcW w:w="11849" w:type="dxa"/>
            <w:hideMark/>
          </w:tcPr>
          <w:p w14:paraId="4B644B3C" w14:textId="66200DB0" w:rsidR="0083482E" w:rsidRDefault="00625B5B" w:rsidP="002D2C1C">
            <w:pPr>
              <w:rPr>
                <w:sz w:val="20"/>
                <w:szCs w:val="20"/>
              </w:rPr>
            </w:pPr>
            <w:r w:rsidRPr="00102688">
              <w:rPr>
                <w:sz w:val="20"/>
                <w:szCs w:val="20"/>
              </w:rPr>
              <w:t xml:space="preserve">Add to </w:t>
            </w:r>
            <w:r w:rsidRPr="0083482E">
              <w:rPr>
                <w:b/>
                <w:sz w:val="20"/>
                <w:szCs w:val="20"/>
              </w:rPr>
              <w:t>Land Use and Activity</w:t>
            </w:r>
            <w:r w:rsidRPr="00102688">
              <w:rPr>
                <w:sz w:val="20"/>
                <w:szCs w:val="20"/>
              </w:rPr>
              <w:t xml:space="preserve"> </w:t>
            </w:r>
            <w:r w:rsidR="0083482E">
              <w:rPr>
                <w:sz w:val="20"/>
                <w:szCs w:val="20"/>
              </w:rPr>
              <w:t>–</w:t>
            </w:r>
            <w:r w:rsidRPr="00102688">
              <w:rPr>
                <w:sz w:val="20"/>
                <w:szCs w:val="20"/>
              </w:rPr>
              <w:t xml:space="preserve"> </w:t>
            </w:r>
          </w:p>
          <w:p w14:paraId="4B07CB79" w14:textId="4DAEF11A" w:rsidR="00625B5B" w:rsidRPr="00102688" w:rsidRDefault="00625B5B" w:rsidP="002D2C1C">
            <w:pPr>
              <w:rPr>
                <w:sz w:val="20"/>
                <w:szCs w:val="20"/>
              </w:rPr>
            </w:pPr>
            <w:r w:rsidRPr="00102688">
              <w:rPr>
                <w:sz w:val="20"/>
                <w:szCs w:val="20"/>
              </w:rPr>
              <w:t xml:space="preserve">"to recognise and provide the possibility of repurposing and regeneration of Kilmainham Garda Station as a </w:t>
            </w:r>
            <w:r w:rsidR="00323CDE">
              <w:rPr>
                <w:sz w:val="20"/>
                <w:szCs w:val="20"/>
              </w:rPr>
              <w:t xml:space="preserve">shared resource for </w:t>
            </w:r>
            <w:r w:rsidRPr="00102688">
              <w:rPr>
                <w:sz w:val="20"/>
                <w:szCs w:val="20"/>
              </w:rPr>
              <w:t>local cultural heritage landmarks" - this ties in with DCC Policy BHA12 (pg. 411) promoting industrial and military heritage.</w:t>
            </w:r>
          </w:p>
        </w:tc>
      </w:tr>
      <w:tr w:rsidR="00625B5B" w:rsidRPr="00102688" w14:paraId="3DB278D1" w14:textId="77777777" w:rsidTr="00B36723">
        <w:trPr>
          <w:trHeight w:val="600"/>
        </w:trPr>
        <w:tc>
          <w:tcPr>
            <w:tcW w:w="426" w:type="dxa"/>
          </w:tcPr>
          <w:p w14:paraId="4C01EDD7" w14:textId="6E1691D4" w:rsidR="00625B5B" w:rsidRPr="00625B5B" w:rsidRDefault="00D41B96">
            <w:pPr>
              <w:rPr>
                <w:sz w:val="16"/>
                <w:szCs w:val="16"/>
              </w:rPr>
            </w:pPr>
            <w:r>
              <w:rPr>
                <w:sz w:val="16"/>
                <w:szCs w:val="16"/>
              </w:rPr>
              <w:t>20</w:t>
            </w:r>
          </w:p>
        </w:tc>
        <w:tc>
          <w:tcPr>
            <w:tcW w:w="1417" w:type="dxa"/>
            <w:hideMark/>
          </w:tcPr>
          <w:p w14:paraId="2B6FEF85" w14:textId="2C04B78A" w:rsidR="00625B5B" w:rsidRPr="00102688" w:rsidRDefault="00625B5B">
            <w:pPr>
              <w:rPr>
                <w:sz w:val="20"/>
                <w:szCs w:val="20"/>
              </w:rPr>
            </w:pPr>
            <w:r w:rsidRPr="00102688">
              <w:rPr>
                <w:sz w:val="20"/>
                <w:szCs w:val="20"/>
              </w:rPr>
              <w:t>13. SDRA 9 Emmet Road</w:t>
            </w:r>
          </w:p>
        </w:tc>
        <w:tc>
          <w:tcPr>
            <w:tcW w:w="1701" w:type="dxa"/>
            <w:hideMark/>
          </w:tcPr>
          <w:p w14:paraId="004482CF" w14:textId="77777777" w:rsidR="00625B5B" w:rsidRPr="00102688" w:rsidRDefault="00625B5B">
            <w:pPr>
              <w:rPr>
                <w:sz w:val="20"/>
                <w:szCs w:val="20"/>
              </w:rPr>
            </w:pPr>
            <w:r w:rsidRPr="00102688">
              <w:rPr>
                <w:sz w:val="20"/>
                <w:szCs w:val="20"/>
              </w:rPr>
              <w:t>13.11 SDRA 9 Emmet Road</w:t>
            </w:r>
          </w:p>
        </w:tc>
        <w:tc>
          <w:tcPr>
            <w:tcW w:w="11849" w:type="dxa"/>
            <w:hideMark/>
          </w:tcPr>
          <w:p w14:paraId="5F5AE93B" w14:textId="77777777" w:rsidR="00625B5B" w:rsidRPr="00102688" w:rsidRDefault="00625B5B">
            <w:pPr>
              <w:rPr>
                <w:sz w:val="20"/>
                <w:szCs w:val="20"/>
              </w:rPr>
            </w:pPr>
            <w:r w:rsidRPr="00102688">
              <w:rPr>
                <w:sz w:val="20"/>
                <w:szCs w:val="20"/>
              </w:rPr>
              <w:t>Q: Land Use &amp; Activity: What does "to facilitate the reconfiguration/ consolidation of educational uses in the Emmet Crescent Area" mean?</w:t>
            </w:r>
          </w:p>
        </w:tc>
      </w:tr>
      <w:tr w:rsidR="00625B5B" w:rsidRPr="00102688" w14:paraId="2442FAE4" w14:textId="77777777" w:rsidTr="00B36723">
        <w:trPr>
          <w:trHeight w:val="900"/>
        </w:trPr>
        <w:tc>
          <w:tcPr>
            <w:tcW w:w="426" w:type="dxa"/>
          </w:tcPr>
          <w:p w14:paraId="1AD11237" w14:textId="4E69493B" w:rsidR="00625B5B" w:rsidRPr="00625B5B" w:rsidRDefault="00D41B96">
            <w:pPr>
              <w:rPr>
                <w:sz w:val="16"/>
                <w:szCs w:val="16"/>
              </w:rPr>
            </w:pPr>
            <w:r>
              <w:rPr>
                <w:sz w:val="16"/>
                <w:szCs w:val="16"/>
              </w:rPr>
              <w:t>21</w:t>
            </w:r>
          </w:p>
        </w:tc>
        <w:tc>
          <w:tcPr>
            <w:tcW w:w="1417" w:type="dxa"/>
            <w:hideMark/>
          </w:tcPr>
          <w:p w14:paraId="02D1BFDF" w14:textId="010E409A" w:rsidR="00625B5B" w:rsidRPr="00102688" w:rsidRDefault="00625B5B">
            <w:pPr>
              <w:rPr>
                <w:sz w:val="20"/>
                <w:szCs w:val="20"/>
              </w:rPr>
            </w:pPr>
            <w:r w:rsidRPr="00102688">
              <w:rPr>
                <w:sz w:val="20"/>
                <w:szCs w:val="20"/>
              </w:rPr>
              <w:t>13. SDRA 9 Emmet Road</w:t>
            </w:r>
          </w:p>
        </w:tc>
        <w:tc>
          <w:tcPr>
            <w:tcW w:w="1701" w:type="dxa"/>
            <w:hideMark/>
          </w:tcPr>
          <w:p w14:paraId="43BA8E9A" w14:textId="3E5FC97F" w:rsidR="00625B5B" w:rsidRPr="00102688" w:rsidRDefault="00625B5B">
            <w:pPr>
              <w:rPr>
                <w:sz w:val="20"/>
                <w:szCs w:val="20"/>
              </w:rPr>
            </w:pPr>
            <w:r>
              <w:rPr>
                <w:sz w:val="20"/>
                <w:szCs w:val="20"/>
              </w:rPr>
              <w:t xml:space="preserve">13.11 1 </w:t>
            </w:r>
            <w:r w:rsidRPr="00102688">
              <w:rPr>
                <w:sz w:val="20"/>
                <w:szCs w:val="20"/>
              </w:rPr>
              <w:t>Goldenbridge Industrial Estate</w:t>
            </w:r>
          </w:p>
        </w:tc>
        <w:tc>
          <w:tcPr>
            <w:tcW w:w="11849" w:type="dxa"/>
            <w:hideMark/>
          </w:tcPr>
          <w:p w14:paraId="66FD7373" w14:textId="32291B0D" w:rsidR="00625B5B" w:rsidRPr="00102688" w:rsidRDefault="00625B5B">
            <w:pPr>
              <w:rPr>
                <w:sz w:val="20"/>
                <w:szCs w:val="20"/>
              </w:rPr>
            </w:pPr>
            <w:r w:rsidRPr="00102688">
              <w:rPr>
                <w:sz w:val="20"/>
                <w:szCs w:val="20"/>
              </w:rPr>
              <w:t>"The Camac River is culverted for the majority of its journey through the site.  The potential for its renaturalisation should be investigated further via a masterplan process in tandem with the river Camac restoration project.  Refer to policy SI11 and SI12 for further details"  consider replacing "Should be" with " will be" or "needs to be"</w:t>
            </w:r>
          </w:p>
        </w:tc>
      </w:tr>
      <w:tr w:rsidR="00625B5B" w:rsidRPr="00102688" w14:paraId="4A41DEC4" w14:textId="77777777" w:rsidTr="00EF7063">
        <w:trPr>
          <w:trHeight w:val="1561"/>
        </w:trPr>
        <w:tc>
          <w:tcPr>
            <w:tcW w:w="426" w:type="dxa"/>
          </w:tcPr>
          <w:p w14:paraId="639DB86D" w14:textId="11378680" w:rsidR="00625B5B" w:rsidRPr="00625B5B" w:rsidRDefault="00D41B96">
            <w:pPr>
              <w:rPr>
                <w:sz w:val="16"/>
                <w:szCs w:val="16"/>
              </w:rPr>
            </w:pPr>
            <w:r>
              <w:rPr>
                <w:sz w:val="16"/>
                <w:szCs w:val="16"/>
              </w:rPr>
              <w:t>22</w:t>
            </w:r>
          </w:p>
        </w:tc>
        <w:tc>
          <w:tcPr>
            <w:tcW w:w="1417" w:type="dxa"/>
            <w:hideMark/>
          </w:tcPr>
          <w:p w14:paraId="389FB6D3" w14:textId="61B47948" w:rsidR="00625B5B" w:rsidRPr="00102688" w:rsidRDefault="00625B5B">
            <w:pPr>
              <w:rPr>
                <w:sz w:val="20"/>
                <w:szCs w:val="20"/>
              </w:rPr>
            </w:pPr>
            <w:r w:rsidRPr="00102688">
              <w:rPr>
                <w:sz w:val="20"/>
                <w:szCs w:val="20"/>
              </w:rPr>
              <w:t>13. SDRA 9 Emmet Road</w:t>
            </w:r>
          </w:p>
        </w:tc>
        <w:tc>
          <w:tcPr>
            <w:tcW w:w="1701" w:type="dxa"/>
            <w:hideMark/>
          </w:tcPr>
          <w:p w14:paraId="623586C1" w14:textId="77777777" w:rsidR="00625B5B" w:rsidRPr="00102688" w:rsidRDefault="00625B5B">
            <w:pPr>
              <w:rPr>
                <w:sz w:val="20"/>
                <w:szCs w:val="20"/>
              </w:rPr>
            </w:pPr>
            <w:r w:rsidRPr="00102688">
              <w:rPr>
                <w:sz w:val="20"/>
                <w:szCs w:val="20"/>
              </w:rPr>
              <w:t>13.11.3 ERD Site</w:t>
            </w:r>
          </w:p>
        </w:tc>
        <w:tc>
          <w:tcPr>
            <w:tcW w:w="11849" w:type="dxa"/>
          </w:tcPr>
          <w:p w14:paraId="3A7F8C9B" w14:textId="172232ED" w:rsidR="00625B5B" w:rsidRPr="00102688" w:rsidRDefault="00EF7063">
            <w:pPr>
              <w:rPr>
                <w:sz w:val="20"/>
                <w:szCs w:val="20"/>
              </w:rPr>
            </w:pPr>
            <w:r w:rsidRPr="00EF11DA">
              <w:rPr>
                <w:sz w:val="20"/>
                <w:szCs w:val="20"/>
              </w:rPr>
              <w:t>In relation to heights</w:t>
            </w:r>
            <w:r>
              <w:rPr>
                <w:sz w:val="20"/>
                <w:szCs w:val="20"/>
              </w:rPr>
              <w:t>,</w:t>
            </w:r>
            <w:r w:rsidRPr="00EF11DA">
              <w:rPr>
                <w:sz w:val="20"/>
                <w:szCs w:val="20"/>
              </w:rPr>
              <w:t xml:space="preserve"> the current design is adhering to the DCDP 2016-2022 that limits the height on the build to </w:t>
            </w:r>
            <w:r>
              <w:rPr>
                <w:sz w:val="20"/>
                <w:szCs w:val="20"/>
              </w:rPr>
              <w:t>less than 24 metres.  The proposed DCDP 2022-28 states:</w:t>
            </w:r>
            <w:r w:rsidRPr="00EF11DA">
              <w:rPr>
                <w:sz w:val="20"/>
                <w:szCs w:val="20"/>
              </w:rPr>
              <w:t xml:space="preserve">  "the Emmet Road site is considered capable of delivering baseline height of 8 storeys with locally higher buildings in specified locations as detailed in the Guiding Principles Map, figure 13.9, subject to detailed design and compliance with Appendix 3 of the development plan" pg. 539. </w:t>
            </w:r>
            <w:r>
              <w:rPr>
                <w:sz w:val="20"/>
                <w:szCs w:val="20"/>
              </w:rPr>
              <w:t>C</w:t>
            </w:r>
            <w:r w:rsidRPr="00EF11DA">
              <w:rPr>
                <w:sz w:val="20"/>
                <w:szCs w:val="20"/>
              </w:rPr>
              <w:t xml:space="preserve">an we get clarification on whether the application to ABP will be delayed until the DCDP 2022-2028 is ratified and therefore will allow for </w:t>
            </w:r>
            <w:r>
              <w:rPr>
                <w:sz w:val="20"/>
                <w:szCs w:val="20"/>
              </w:rPr>
              <w:t xml:space="preserve">this suggested </w:t>
            </w:r>
            <w:r w:rsidRPr="00EF11DA">
              <w:rPr>
                <w:sz w:val="20"/>
                <w:szCs w:val="20"/>
              </w:rPr>
              <w:t xml:space="preserve">increased </w:t>
            </w:r>
            <w:r>
              <w:rPr>
                <w:sz w:val="20"/>
                <w:szCs w:val="20"/>
              </w:rPr>
              <w:t>height/</w:t>
            </w:r>
            <w:r w:rsidRPr="00EF11DA">
              <w:rPr>
                <w:sz w:val="20"/>
                <w:szCs w:val="20"/>
              </w:rPr>
              <w:t>density?  Or will it be the case that there will be an alternation to the design after the application goes to ABP when the DCDP 2022-2028 comes into place?</w:t>
            </w:r>
          </w:p>
        </w:tc>
      </w:tr>
      <w:tr w:rsidR="00625B5B" w:rsidRPr="00102688" w14:paraId="6DC57A1D" w14:textId="77777777" w:rsidTr="00B36723">
        <w:trPr>
          <w:trHeight w:val="1638"/>
        </w:trPr>
        <w:tc>
          <w:tcPr>
            <w:tcW w:w="426" w:type="dxa"/>
          </w:tcPr>
          <w:p w14:paraId="3C2AE528" w14:textId="024E588D" w:rsidR="00625B5B" w:rsidRPr="00625B5B" w:rsidRDefault="00D41B96">
            <w:pPr>
              <w:rPr>
                <w:sz w:val="16"/>
                <w:szCs w:val="16"/>
              </w:rPr>
            </w:pPr>
            <w:r>
              <w:rPr>
                <w:sz w:val="16"/>
                <w:szCs w:val="16"/>
              </w:rPr>
              <w:t>23</w:t>
            </w:r>
          </w:p>
        </w:tc>
        <w:tc>
          <w:tcPr>
            <w:tcW w:w="1417" w:type="dxa"/>
            <w:hideMark/>
          </w:tcPr>
          <w:p w14:paraId="5C0BD17B" w14:textId="34B91A18" w:rsidR="00625B5B" w:rsidRPr="00102688" w:rsidRDefault="00625B5B">
            <w:pPr>
              <w:rPr>
                <w:sz w:val="20"/>
                <w:szCs w:val="20"/>
              </w:rPr>
            </w:pPr>
            <w:r w:rsidRPr="00102688">
              <w:rPr>
                <w:sz w:val="20"/>
                <w:szCs w:val="20"/>
              </w:rPr>
              <w:t>13. SDRA 9 Emmet Road</w:t>
            </w:r>
          </w:p>
        </w:tc>
        <w:tc>
          <w:tcPr>
            <w:tcW w:w="1701" w:type="dxa"/>
            <w:hideMark/>
          </w:tcPr>
          <w:p w14:paraId="4C703213" w14:textId="77777777" w:rsidR="00625B5B" w:rsidRPr="00102688" w:rsidRDefault="00625B5B">
            <w:pPr>
              <w:rPr>
                <w:sz w:val="20"/>
                <w:szCs w:val="20"/>
              </w:rPr>
            </w:pPr>
            <w:r w:rsidRPr="00102688">
              <w:rPr>
                <w:sz w:val="20"/>
                <w:szCs w:val="20"/>
              </w:rPr>
              <w:t>13.11.3. ERD Site</w:t>
            </w:r>
          </w:p>
        </w:tc>
        <w:tc>
          <w:tcPr>
            <w:tcW w:w="11849" w:type="dxa"/>
            <w:hideMark/>
          </w:tcPr>
          <w:p w14:paraId="073DED4E" w14:textId="3A5001F5" w:rsidR="00625B5B" w:rsidRPr="00102688" w:rsidRDefault="00625B5B">
            <w:pPr>
              <w:rPr>
                <w:sz w:val="20"/>
                <w:szCs w:val="20"/>
              </w:rPr>
            </w:pPr>
            <w:r w:rsidRPr="00102688">
              <w:rPr>
                <w:sz w:val="20"/>
                <w:szCs w:val="20"/>
              </w:rPr>
              <w:t>SDRA Guiding Principles from DCDP 2016-2022 are no longer included in new proposed DCDP.  This is a concern given that in DCDP 2016-2022 it stated that "variety of housing tenure and unit types will be sought in order to achieve a balanced and sustainable community"  this needs to be altered to reflect the cost rental aspect of the ERD and then this guiding principle needs to be reinstated in the DCDP 2022-2028.  Secondly another guiding principle that has disappeared from the new DCDP is "Innovative proposals that create a landmark destination within the city for combined facilities of a community, recreational, leisure and sports nature will be promoted, such facilities shall integrate positively  with the existing sports facilities on the site".  This is another guiding principle that needs to remain in the new DCDP</w:t>
            </w:r>
            <w:r>
              <w:rPr>
                <w:sz w:val="20"/>
                <w:szCs w:val="20"/>
              </w:rPr>
              <w:t>.</w:t>
            </w:r>
          </w:p>
        </w:tc>
      </w:tr>
      <w:tr w:rsidR="00625B5B" w:rsidRPr="00102688" w14:paraId="23B56F03" w14:textId="77777777" w:rsidTr="00B36723">
        <w:trPr>
          <w:trHeight w:val="600"/>
        </w:trPr>
        <w:tc>
          <w:tcPr>
            <w:tcW w:w="426" w:type="dxa"/>
          </w:tcPr>
          <w:p w14:paraId="0223E348" w14:textId="08A24CDB" w:rsidR="00625B5B" w:rsidRPr="00625B5B" w:rsidRDefault="00D41B96">
            <w:pPr>
              <w:rPr>
                <w:sz w:val="16"/>
                <w:szCs w:val="16"/>
              </w:rPr>
            </w:pPr>
            <w:r>
              <w:rPr>
                <w:sz w:val="16"/>
                <w:szCs w:val="16"/>
              </w:rPr>
              <w:t>24</w:t>
            </w:r>
          </w:p>
        </w:tc>
        <w:tc>
          <w:tcPr>
            <w:tcW w:w="1417" w:type="dxa"/>
            <w:hideMark/>
          </w:tcPr>
          <w:p w14:paraId="4BEA8DE4" w14:textId="54A61296" w:rsidR="00625B5B" w:rsidRPr="00102688" w:rsidRDefault="00625B5B">
            <w:pPr>
              <w:rPr>
                <w:sz w:val="20"/>
                <w:szCs w:val="20"/>
              </w:rPr>
            </w:pPr>
            <w:r w:rsidRPr="00102688">
              <w:rPr>
                <w:sz w:val="20"/>
                <w:szCs w:val="20"/>
              </w:rPr>
              <w:t>13. SDRA 9 Emmet Road</w:t>
            </w:r>
          </w:p>
        </w:tc>
        <w:tc>
          <w:tcPr>
            <w:tcW w:w="1701" w:type="dxa"/>
            <w:hideMark/>
          </w:tcPr>
          <w:p w14:paraId="00523847" w14:textId="77777777" w:rsidR="00625B5B" w:rsidRPr="00102688" w:rsidRDefault="00625B5B">
            <w:pPr>
              <w:rPr>
                <w:sz w:val="20"/>
                <w:szCs w:val="20"/>
              </w:rPr>
            </w:pPr>
            <w:r w:rsidRPr="00102688">
              <w:rPr>
                <w:sz w:val="20"/>
                <w:szCs w:val="20"/>
              </w:rPr>
              <w:t>13.11.3. ERD Site</w:t>
            </w:r>
          </w:p>
        </w:tc>
        <w:tc>
          <w:tcPr>
            <w:tcW w:w="11849" w:type="dxa"/>
            <w:hideMark/>
          </w:tcPr>
          <w:p w14:paraId="6D45A41A" w14:textId="49A2B0B2" w:rsidR="00625B5B" w:rsidRPr="00102688" w:rsidRDefault="005F4D7D" w:rsidP="005F4D7D">
            <w:pPr>
              <w:rPr>
                <w:sz w:val="20"/>
                <w:szCs w:val="20"/>
              </w:rPr>
            </w:pPr>
            <w:r w:rsidRPr="005F4D7D">
              <w:rPr>
                <w:sz w:val="20"/>
                <w:szCs w:val="20"/>
                <w:lang w:val="en-IE"/>
              </w:rPr>
              <w:t>Request another guiding principle be added to the DCDP re the pepper potting (no segregation) of social and cost rental units within the ERD.  This commitment has been stated by DCC. This is outlined as an assurance in Appendix 1, section 7.3, pg. 75 of the DCDP.</w:t>
            </w:r>
          </w:p>
        </w:tc>
      </w:tr>
    </w:tbl>
    <w:p w14:paraId="5AA2C1B2" w14:textId="77777777" w:rsidR="00102688" w:rsidRPr="00102688" w:rsidRDefault="00102688" w:rsidP="008B64E4">
      <w:pPr>
        <w:rPr>
          <w:sz w:val="22"/>
          <w:szCs w:val="22"/>
        </w:rPr>
      </w:pPr>
    </w:p>
    <w:p w14:paraId="2F3CCA26" w14:textId="77777777" w:rsidR="00102688" w:rsidRDefault="00102688" w:rsidP="008B64E4"/>
    <w:p w14:paraId="1DA84BEB" w14:textId="77777777" w:rsidR="00DD2D62" w:rsidRDefault="00DD2D62">
      <w:r>
        <w:br w:type="page"/>
      </w:r>
    </w:p>
    <w:p w14:paraId="631F9329" w14:textId="325C6555" w:rsidR="001F1E23" w:rsidRDefault="001F1E23" w:rsidP="008B64E4">
      <w:r>
        <w:lastRenderedPageBreak/>
        <w:t xml:space="preserve">Below is a table of </w:t>
      </w:r>
      <w:r w:rsidR="00102688">
        <w:t>support</w:t>
      </w:r>
      <w:r>
        <w:t>:</w:t>
      </w:r>
    </w:p>
    <w:tbl>
      <w:tblPr>
        <w:tblStyle w:val="TableGrid"/>
        <w:tblW w:w="0" w:type="auto"/>
        <w:tblLook w:val="04A0" w:firstRow="1" w:lastRow="0" w:firstColumn="1" w:lastColumn="0" w:noHBand="0" w:noVBand="1"/>
      </w:tblPr>
      <w:tblGrid>
        <w:gridCol w:w="421"/>
        <w:gridCol w:w="1575"/>
        <w:gridCol w:w="1968"/>
        <w:gridCol w:w="11424"/>
      </w:tblGrid>
      <w:tr w:rsidR="00625B5B" w:rsidRPr="00102688" w14:paraId="69F231FA" w14:textId="77777777" w:rsidTr="00625B5B">
        <w:trPr>
          <w:trHeight w:val="406"/>
        </w:trPr>
        <w:tc>
          <w:tcPr>
            <w:tcW w:w="421" w:type="dxa"/>
          </w:tcPr>
          <w:p w14:paraId="58CCB382" w14:textId="77777777" w:rsidR="00625B5B" w:rsidRPr="00102688" w:rsidRDefault="00625B5B" w:rsidP="00625B5B">
            <w:pPr>
              <w:pStyle w:val="NormalWeb"/>
              <w:rPr>
                <w:sz w:val="20"/>
                <w:szCs w:val="20"/>
                <w:lang w:val="en-IE"/>
              </w:rPr>
            </w:pPr>
          </w:p>
        </w:tc>
        <w:tc>
          <w:tcPr>
            <w:tcW w:w="1575" w:type="dxa"/>
          </w:tcPr>
          <w:p w14:paraId="400F62BC" w14:textId="2B6547E2" w:rsidR="00625B5B" w:rsidRPr="00102688" w:rsidRDefault="00625B5B" w:rsidP="00625B5B">
            <w:pPr>
              <w:pStyle w:val="NormalWeb"/>
              <w:rPr>
                <w:sz w:val="20"/>
                <w:szCs w:val="20"/>
                <w:lang w:val="en-IE"/>
              </w:rPr>
            </w:pPr>
            <w:r w:rsidRPr="00102688">
              <w:rPr>
                <w:b/>
              </w:rPr>
              <w:t>Chapter</w:t>
            </w:r>
          </w:p>
        </w:tc>
        <w:tc>
          <w:tcPr>
            <w:tcW w:w="1968" w:type="dxa"/>
          </w:tcPr>
          <w:p w14:paraId="294B9E57" w14:textId="678361AC" w:rsidR="00625B5B" w:rsidRPr="00102688" w:rsidRDefault="00625B5B" w:rsidP="00625B5B">
            <w:pPr>
              <w:pStyle w:val="NormalWeb"/>
              <w:rPr>
                <w:sz w:val="20"/>
                <w:szCs w:val="20"/>
                <w:lang w:val="en-IE"/>
              </w:rPr>
            </w:pPr>
            <w:r w:rsidRPr="00102688">
              <w:rPr>
                <w:b/>
              </w:rPr>
              <w:t>Section</w:t>
            </w:r>
          </w:p>
        </w:tc>
        <w:tc>
          <w:tcPr>
            <w:tcW w:w="11424" w:type="dxa"/>
          </w:tcPr>
          <w:p w14:paraId="5506337D" w14:textId="08CD80A0" w:rsidR="00625B5B" w:rsidRPr="00102688" w:rsidRDefault="00625B5B" w:rsidP="00625B5B">
            <w:pPr>
              <w:pStyle w:val="NormalWeb"/>
              <w:rPr>
                <w:sz w:val="20"/>
                <w:szCs w:val="20"/>
                <w:lang w:val="en-IE"/>
              </w:rPr>
            </w:pPr>
            <w:r w:rsidRPr="00102688">
              <w:rPr>
                <w:b/>
              </w:rPr>
              <w:t>Su</w:t>
            </w:r>
            <w:r>
              <w:rPr>
                <w:b/>
              </w:rPr>
              <w:t>pport</w:t>
            </w:r>
            <w:r w:rsidRPr="00102688">
              <w:rPr>
                <w:b/>
              </w:rPr>
              <w:t>:</w:t>
            </w:r>
          </w:p>
        </w:tc>
      </w:tr>
      <w:tr w:rsidR="00625B5B" w:rsidRPr="00102688" w14:paraId="550B9B08" w14:textId="77777777" w:rsidTr="00625B5B">
        <w:trPr>
          <w:trHeight w:val="600"/>
        </w:trPr>
        <w:tc>
          <w:tcPr>
            <w:tcW w:w="421" w:type="dxa"/>
          </w:tcPr>
          <w:p w14:paraId="08442699" w14:textId="7E51E857" w:rsidR="00625B5B" w:rsidRPr="00102688" w:rsidRDefault="00625B5B" w:rsidP="00625B5B">
            <w:pPr>
              <w:pStyle w:val="NormalWeb"/>
              <w:rPr>
                <w:sz w:val="20"/>
                <w:szCs w:val="20"/>
                <w:lang w:val="en-IE"/>
              </w:rPr>
            </w:pPr>
            <w:r>
              <w:rPr>
                <w:sz w:val="20"/>
                <w:szCs w:val="20"/>
                <w:lang w:val="en-IE"/>
              </w:rPr>
              <w:t>1</w:t>
            </w:r>
          </w:p>
        </w:tc>
        <w:tc>
          <w:tcPr>
            <w:tcW w:w="1575" w:type="dxa"/>
            <w:hideMark/>
          </w:tcPr>
          <w:p w14:paraId="301B47E8" w14:textId="1338E209" w:rsidR="00625B5B" w:rsidRPr="00102688" w:rsidRDefault="00625B5B" w:rsidP="00625B5B">
            <w:pPr>
              <w:pStyle w:val="NormalWeb"/>
              <w:rPr>
                <w:sz w:val="20"/>
                <w:szCs w:val="20"/>
                <w:lang w:val="en-IE"/>
              </w:rPr>
            </w:pPr>
            <w:r w:rsidRPr="00102688">
              <w:rPr>
                <w:sz w:val="20"/>
                <w:szCs w:val="20"/>
                <w:lang w:val="en-IE"/>
              </w:rPr>
              <w:t>1. Strategy - Context Vision</w:t>
            </w:r>
          </w:p>
        </w:tc>
        <w:tc>
          <w:tcPr>
            <w:tcW w:w="1968" w:type="dxa"/>
            <w:hideMark/>
          </w:tcPr>
          <w:p w14:paraId="21A25351" w14:textId="77777777" w:rsidR="00625B5B" w:rsidRPr="00102688" w:rsidRDefault="00625B5B" w:rsidP="00625B5B">
            <w:pPr>
              <w:pStyle w:val="NormalWeb"/>
              <w:rPr>
                <w:sz w:val="20"/>
                <w:szCs w:val="20"/>
                <w:lang w:val="en-IE"/>
              </w:rPr>
            </w:pPr>
            <w:r w:rsidRPr="00102688">
              <w:rPr>
                <w:sz w:val="20"/>
                <w:szCs w:val="20"/>
                <w:lang w:val="en-IE"/>
              </w:rPr>
              <w:t>Overarching strategic Approach</w:t>
            </w:r>
          </w:p>
        </w:tc>
        <w:tc>
          <w:tcPr>
            <w:tcW w:w="11424" w:type="dxa"/>
            <w:hideMark/>
          </w:tcPr>
          <w:p w14:paraId="6B632191" w14:textId="77777777" w:rsidR="00625B5B" w:rsidRPr="00102688" w:rsidRDefault="00625B5B" w:rsidP="00625B5B">
            <w:pPr>
              <w:pStyle w:val="NormalWeb"/>
              <w:rPr>
                <w:sz w:val="20"/>
                <w:szCs w:val="20"/>
                <w:lang w:val="en-IE"/>
              </w:rPr>
            </w:pPr>
            <w:r w:rsidRPr="00102688">
              <w:rPr>
                <w:sz w:val="20"/>
                <w:szCs w:val="20"/>
                <w:lang w:val="en-IE"/>
              </w:rPr>
              <w:t>KIN agree with DCDP to develop a low carbon sustainable, climate resilient city and with chapter 3 climate action initiatives.</w:t>
            </w:r>
          </w:p>
        </w:tc>
      </w:tr>
      <w:tr w:rsidR="00625B5B" w:rsidRPr="00102688" w14:paraId="5935AFBB" w14:textId="77777777" w:rsidTr="00625B5B">
        <w:trPr>
          <w:trHeight w:val="1200"/>
        </w:trPr>
        <w:tc>
          <w:tcPr>
            <w:tcW w:w="421" w:type="dxa"/>
          </w:tcPr>
          <w:p w14:paraId="6AE6280E" w14:textId="4370C371" w:rsidR="00625B5B" w:rsidRPr="00102688" w:rsidRDefault="00625B5B" w:rsidP="00625B5B">
            <w:pPr>
              <w:pStyle w:val="NormalWeb"/>
              <w:rPr>
                <w:sz w:val="20"/>
                <w:szCs w:val="20"/>
                <w:lang w:val="en-IE"/>
              </w:rPr>
            </w:pPr>
            <w:r>
              <w:rPr>
                <w:sz w:val="20"/>
                <w:szCs w:val="20"/>
                <w:lang w:val="en-IE"/>
              </w:rPr>
              <w:t>2</w:t>
            </w:r>
          </w:p>
        </w:tc>
        <w:tc>
          <w:tcPr>
            <w:tcW w:w="1575" w:type="dxa"/>
            <w:hideMark/>
          </w:tcPr>
          <w:p w14:paraId="3947565A" w14:textId="39897F51" w:rsidR="00625B5B" w:rsidRPr="00102688" w:rsidRDefault="00625B5B" w:rsidP="00625B5B">
            <w:pPr>
              <w:pStyle w:val="NormalWeb"/>
              <w:rPr>
                <w:sz w:val="20"/>
                <w:szCs w:val="20"/>
                <w:lang w:val="en-IE"/>
              </w:rPr>
            </w:pPr>
            <w:r w:rsidRPr="00102688">
              <w:rPr>
                <w:sz w:val="20"/>
                <w:szCs w:val="20"/>
                <w:lang w:val="en-IE"/>
              </w:rPr>
              <w:t>2. Core Strategy</w:t>
            </w:r>
          </w:p>
        </w:tc>
        <w:tc>
          <w:tcPr>
            <w:tcW w:w="1968" w:type="dxa"/>
            <w:hideMark/>
          </w:tcPr>
          <w:p w14:paraId="00C88960" w14:textId="77777777" w:rsidR="00625B5B" w:rsidRPr="00102688" w:rsidRDefault="00625B5B" w:rsidP="00625B5B">
            <w:pPr>
              <w:pStyle w:val="NormalWeb"/>
              <w:rPr>
                <w:sz w:val="20"/>
                <w:szCs w:val="20"/>
                <w:lang w:val="en-IE"/>
              </w:rPr>
            </w:pPr>
            <w:r w:rsidRPr="00102688">
              <w:rPr>
                <w:sz w:val="20"/>
                <w:szCs w:val="20"/>
                <w:lang w:val="en-IE"/>
              </w:rPr>
              <w:t>2.7.1 Plan Making - Other local area plans/ village improvement plans (VIPs)</w:t>
            </w:r>
          </w:p>
        </w:tc>
        <w:tc>
          <w:tcPr>
            <w:tcW w:w="11424" w:type="dxa"/>
            <w:hideMark/>
          </w:tcPr>
          <w:p w14:paraId="284AD0B6" w14:textId="0C247652" w:rsidR="00625B5B" w:rsidRPr="00102688" w:rsidRDefault="00625B5B" w:rsidP="00625B5B">
            <w:pPr>
              <w:pStyle w:val="NormalWeb"/>
              <w:rPr>
                <w:sz w:val="20"/>
                <w:szCs w:val="20"/>
                <w:lang w:val="en-IE"/>
              </w:rPr>
            </w:pPr>
            <w:r w:rsidRPr="00102688">
              <w:rPr>
                <w:sz w:val="20"/>
                <w:szCs w:val="20"/>
                <w:lang w:val="en-IE"/>
              </w:rPr>
              <w:t>Welcome th</w:t>
            </w:r>
            <w:r>
              <w:rPr>
                <w:sz w:val="20"/>
                <w:szCs w:val="20"/>
                <w:lang w:val="en-IE"/>
              </w:rPr>
              <w:t>e</w:t>
            </w:r>
            <w:r w:rsidRPr="00102688">
              <w:rPr>
                <w:sz w:val="20"/>
                <w:szCs w:val="20"/>
                <w:lang w:val="en-IE"/>
              </w:rPr>
              <w:t xml:space="preserve"> VIP proposed for Kilmainham/ Inchicore. This is reiterating the KIDS report.  VIP prioritisation based on 1. Area that require economic, physical and social renewal. 2. Development potential and ability to assist in the delivery of the Core Strategy.  Need for regeneration within an area based on the Pobal Index of Deprivation.</w:t>
            </w:r>
          </w:p>
        </w:tc>
      </w:tr>
      <w:tr w:rsidR="00625B5B" w:rsidRPr="00102688" w14:paraId="5D9D0E6C" w14:textId="77777777" w:rsidTr="00625B5B">
        <w:trPr>
          <w:trHeight w:val="1272"/>
        </w:trPr>
        <w:tc>
          <w:tcPr>
            <w:tcW w:w="421" w:type="dxa"/>
          </w:tcPr>
          <w:p w14:paraId="5DAD1B0B" w14:textId="33595651" w:rsidR="00625B5B" w:rsidRPr="00102688" w:rsidRDefault="00625B5B" w:rsidP="00625B5B">
            <w:pPr>
              <w:pStyle w:val="NormalWeb"/>
              <w:rPr>
                <w:sz w:val="20"/>
                <w:szCs w:val="20"/>
                <w:lang w:val="en-IE"/>
              </w:rPr>
            </w:pPr>
            <w:r>
              <w:rPr>
                <w:sz w:val="20"/>
                <w:szCs w:val="20"/>
                <w:lang w:val="en-IE"/>
              </w:rPr>
              <w:t>3</w:t>
            </w:r>
          </w:p>
        </w:tc>
        <w:tc>
          <w:tcPr>
            <w:tcW w:w="1575" w:type="dxa"/>
            <w:hideMark/>
          </w:tcPr>
          <w:p w14:paraId="7BA38790" w14:textId="1A9B94ED" w:rsidR="00625B5B" w:rsidRPr="00102688" w:rsidRDefault="00625B5B" w:rsidP="00625B5B">
            <w:pPr>
              <w:pStyle w:val="NormalWeb"/>
              <w:rPr>
                <w:sz w:val="20"/>
                <w:szCs w:val="20"/>
                <w:lang w:val="en-IE"/>
              </w:rPr>
            </w:pPr>
            <w:r w:rsidRPr="00102688">
              <w:rPr>
                <w:sz w:val="20"/>
                <w:szCs w:val="20"/>
                <w:lang w:val="en-IE"/>
              </w:rPr>
              <w:t>2. Core Strategy</w:t>
            </w:r>
          </w:p>
        </w:tc>
        <w:tc>
          <w:tcPr>
            <w:tcW w:w="1968" w:type="dxa"/>
            <w:hideMark/>
          </w:tcPr>
          <w:p w14:paraId="4B9493C0" w14:textId="77777777" w:rsidR="00625B5B" w:rsidRPr="00102688" w:rsidRDefault="00625B5B" w:rsidP="00625B5B">
            <w:pPr>
              <w:pStyle w:val="NormalWeb"/>
              <w:rPr>
                <w:sz w:val="20"/>
                <w:szCs w:val="20"/>
                <w:lang w:val="en-IE"/>
              </w:rPr>
            </w:pPr>
            <w:r w:rsidRPr="00102688">
              <w:rPr>
                <w:sz w:val="20"/>
                <w:szCs w:val="20"/>
                <w:lang w:val="en-IE"/>
              </w:rPr>
              <w:t>2.7.3 URDF Funding. Objective CSO13</w:t>
            </w:r>
          </w:p>
        </w:tc>
        <w:tc>
          <w:tcPr>
            <w:tcW w:w="11424" w:type="dxa"/>
            <w:hideMark/>
          </w:tcPr>
          <w:p w14:paraId="1DF51115" w14:textId="37C17616" w:rsidR="00625B5B" w:rsidRPr="00102688" w:rsidRDefault="00625B5B" w:rsidP="00625B5B">
            <w:pPr>
              <w:pStyle w:val="NormalWeb"/>
              <w:rPr>
                <w:sz w:val="20"/>
                <w:szCs w:val="20"/>
                <w:lang w:val="en-IE"/>
              </w:rPr>
            </w:pPr>
            <w:r w:rsidRPr="00102688">
              <w:rPr>
                <w:sz w:val="20"/>
                <w:szCs w:val="20"/>
                <w:lang w:val="en-IE"/>
              </w:rPr>
              <w:t>KIN support the funding application for Kilmainham Inchicore Development Strategy (KIDS) implementation (planning, detailed design and construction) under call 3 of the URDF (This non statutory strategy was funded by URDF identifying potential projects including enhancement of K &amp; I Villages, the Camac River Greenway and a Greening Strategy, as well as improving connectivity between K &amp; I Villages, strengthen public realm and enhance the landscape character of the area which in turn will act as a catalyst for the unban regeneration of the area).</w:t>
            </w:r>
          </w:p>
        </w:tc>
      </w:tr>
      <w:tr w:rsidR="00625B5B" w:rsidRPr="00102688" w14:paraId="739889B2" w14:textId="77777777" w:rsidTr="00625B5B">
        <w:trPr>
          <w:trHeight w:val="600"/>
        </w:trPr>
        <w:tc>
          <w:tcPr>
            <w:tcW w:w="421" w:type="dxa"/>
          </w:tcPr>
          <w:p w14:paraId="15945460" w14:textId="160F6C6F" w:rsidR="00625B5B" w:rsidRPr="00102688" w:rsidRDefault="00625B5B" w:rsidP="00625B5B">
            <w:pPr>
              <w:pStyle w:val="NormalWeb"/>
              <w:rPr>
                <w:sz w:val="20"/>
                <w:szCs w:val="20"/>
                <w:lang w:val="en-IE"/>
              </w:rPr>
            </w:pPr>
            <w:r>
              <w:rPr>
                <w:sz w:val="20"/>
                <w:szCs w:val="20"/>
                <w:lang w:val="en-IE"/>
              </w:rPr>
              <w:t>4</w:t>
            </w:r>
          </w:p>
        </w:tc>
        <w:tc>
          <w:tcPr>
            <w:tcW w:w="1575" w:type="dxa"/>
            <w:hideMark/>
          </w:tcPr>
          <w:p w14:paraId="6D3F1D1F" w14:textId="54F351C2" w:rsidR="00625B5B" w:rsidRPr="00102688" w:rsidRDefault="00625B5B" w:rsidP="00625B5B">
            <w:pPr>
              <w:pStyle w:val="NormalWeb"/>
              <w:rPr>
                <w:sz w:val="20"/>
                <w:szCs w:val="20"/>
                <w:lang w:val="en-IE"/>
              </w:rPr>
            </w:pPr>
            <w:r w:rsidRPr="00102688">
              <w:rPr>
                <w:sz w:val="20"/>
                <w:szCs w:val="20"/>
                <w:lang w:val="en-IE"/>
              </w:rPr>
              <w:t>4: Shape and Structure of the City</w:t>
            </w:r>
          </w:p>
        </w:tc>
        <w:tc>
          <w:tcPr>
            <w:tcW w:w="1968" w:type="dxa"/>
            <w:hideMark/>
          </w:tcPr>
          <w:p w14:paraId="294D30F0" w14:textId="77777777" w:rsidR="00625B5B" w:rsidRPr="00102688" w:rsidRDefault="00625B5B" w:rsidP="00625B5B">
            <w:pPr>
              <w:pStyle w:val="NormalWeb"/>
              <w:rPr>
                <w:sz w:val="20"/>
                <w:szCs w:val="20"/>
                <w:lang w:val="en-IE"/>
              </w:rPr>
            </w:pPr>
            <w:r w:rsidRPr="00102688">
              <w:rPr>
                <w:sz w:val="20"/>
                <w:szCs w:val="20"/>
                <w:lang w:val="en-IE"/>
              </w:rPr>
              <w:t>4.5 Policy and Objectives for Inner City</w:t>
            </w:r>
          </w:p>
        </w:tc>
        <w:tc>
          <w:tcPr>
            <w:tcW w:w="11424" w:type="dxa"/>
            <w:hideMark/>
          </w:tcPr>
          <w:p w14:paraId="115B38A3" w14:textId="519C14F2" w:rsidR="00625B5B" w:rsidRPr="00102688" w:rsidRDefault="00625B5B" w:rsidP="00625B5B">
            <w:pPr>
              <w:pStyle w:val="NormalWeb"/>
              <w:rPr>
                <w:sz w:val="20"/>
                <w:szCs w:val="20"/>
                <w:lang w:val="en-IE"/>
              </w:rPr>
            </w:pPr>
            <w:r w:rsidRPr="00102688">
              <w:rPr>
                <w:sz w:val="20"/>
                <w:szCs w:val="20"/>
                <w:lang w:val="en-IE"/>
              </w:rPr>
              <w:t>KIN support the focus on encouraging more liveable inner city with balanced economic investment and increased focus on residential developments with significantly enhanced public realm.</w:t>
            </w:r>
          </w:p>
        </w:tc>
      </w:tr>
      <w:tr w:rsidR="00625B5B" w:rsidRPr="00102688" w14:paraId="2DE370DB" w14:textId="77777777" w:rsidTr="00625B5B">
        <w:trPr>
          <w:trHeight w:val="900"/>
        </w:trPr>
        <w:tc>
          <w:tcPr>
            <w:tcW w:w="421" w:type="dxa"/>
          </w:tcPr>
          <w:p w14:paraId="17872DB1" w14:textId="6FAFD47C" w:rsidR="00625B5B" w:rsidRPr="00102688" w:rsidRDefault="00625B5B" w:rsidP="00625B5B">
            <w:pPr>
              <w:pStyle w:val="NormalWeb"/>
              <w:rPr>
                <w:sz w:val="20"/>
                <w:szCs w:val="20"/>
                <w:lang w:val="en-IE"/>
              </w:rPr>
            </w:pPr>
            <w:r>
              <w:rPr>
                <w:sz w:val="20"/>
                <w:szCs w:val="20"/>
                <w:lang w:val="en-IE"/>
              </w:rPr>
              <w:t>5</w:t>
            </w:r>
          </w:p>
        </w:tc>
        <w:tc>
          <w:tcPr>
            <w:tcW w:w="1575" w:type="dxa"/>
            <w:hideMark/>
          </w:tcPr>
          <w:p w14:paraId="3DE7729E" w14:textId="767592A1" w:rsidR="00625B5B" w:rsidRPr="00102688" w:rsidRDefault="00625B5B" w:rsidP="00625B5B">
            <w:pPr>
              <w:pStyle w:val="NormalWeb"/>
              <w:rPr>
                <w:sz w:val="20"/>
                <w:szCs w:val="20"/>
                <w:lang w:val="en-IE"/>
              </w:rPr>
            </w:pPr>
            <w:r w:rsidRPr="00102688">
              <w:rPr>
                <w:sz w:val="20"/>
                <w:szCs w:val="20"/>
                <w:lang w:val="en-IE"/>
              </w:rPr>
              <w:t>5. Quality Housing &amp; Sustainable Neighbourhoods</w:t>
            </w:r>
          </w:p>
        </w:tc>
        <w:tc>
          <w:tcPr>
            <w:tcW w:w="1968" w:type="dxa"/>
            <w:hideMark/>
          </w:tcPr>
          <w:p w14:paraId="7324E219" w14:textId="77777777" w:rsidR="00625B5B" w:rsidRPr="00102688" w:rsidRDefault="00625B5B" w:rsidP="00625B5B">
            <w:pPr>
              <w:pStyle w:val="NormalWeb"/>
              <w:rPr>
                <w:sz w:val="20"/>
                <w:szCs w:val="20"/>
                <w:lang w:val="en-IE"/>
              </w:rPr>
            </w:pPr>
            <w:r w:rsidRPr="00102688">
              <w:rPr>
                <w:sz w:val="20"/>
                <w:szCs w:val="20"/>
                <w:lang w:val="en-IE"/>
              </w:rPr>
              <w:t>Figure 5</w:t>
            </w:r>
          </w:p>
        </w:tc>
        <w:tc>
          <w:tcPr>
            <w:tcW w:w="11424" w:type="dxa"/>
            <w:hideMark/>
          </w:tcPr>
          <w:p w14:paraId="6902DCF4" w14:textId="77777777" w:rsidR="00625B5B" w:rsidRPr="00102688" w:rsidRDefault="00625B5B" w:rsidP="00625B5B">
            <w:pPr>
              <w:pStyle w:val="NormalWeb"/>
              <w:rPr>
                <w:sz w:val="20"/>
                <w:szCs w:val="20"/>
                <w:lang w:val="en-IE"/>
              </w:rPr>
            </w:pPr>
            <w:r w:rsidRPr="00102688">
              <w:rPr>
                <w:sz w:val="20"/>
                <w:szCs w:val="20"/>
                <w:lang w:val="en-IE"/>
              </w:rPr>
              <w:t>KIN support both Inchicore and Kilmainham designated as Key Neighbourhoods [Fig.5.1]</w:t>
            </w:r>
          </w:p>
        </w:tc>
      </w:tr>
      <w:tr w:rsidR="00625B5B" w:rsidRPr="00102688" w14:paraId="40C18801" w14:textId="77777777" w:rsidTr="00625B5B">
        <w:trPr>
          <w:trHeight w:val="1542"/>
        </w:trPr>
        <w:tc>
          <w:tcPr>
            <w:tcW w:w="421" w:type="dxa"/>
          </w:tcPr>
          <w:p w14:paraId="238C2A59" w14:textId="47668BAF" w:rsidR="00625B5B" w:rsidRPr="00102688" w:rsidRDefault="00625B5B" w:rsidP="00625B5B">
            <w:pPr>
              <w:pStyle w:val="NormalWeb"/>
              <w:rPr>
                <w:sz w:val="20"/>
                <w:szCs w:val="20"/>
                <w:lang w:val="en-IE"/>
              </w:rPr>
            </w:pPr>
            <w:r>
              <w:rPr>
                <w:sz w:val="20"/>
                <w:szCs w:val="20"/>
                <w:lang w:val="en-IE"/>
              </w:rPr>
              <w:t>6</w:t>
            </w:r>
          </w:p>
        </w:tc>
        <w:tc>
          <w:tcPr>
            <w:tcW w:w="1575" w:type="dxa"/>
            <w:hideMark/>
          </w:tcPr>
          <w:p w14:paraId="096D50D6" w14:textId="37F094E0" w:rsidR="00625B5B" w:rsidRPr="00102688" w:rsidRDefault="00625B5B" w:rsidP="00625B5B">
            <w:pPr>
              <w:pStyle w:val="NormalWeb"/>
              <w:rPr>
                <w:sz w:val="20"/>
                <w:szCs w:val="20"/>
                <w:lang w:val="en-IE"/>
              </w:rPr>
            </w:pPr>
            <w:r w:rsidRPr="00102688">
              <w:rPr>
                <w:sz w:val="20"/>
                <w:szCs w:val="20"/>
                <w:lang w:val="en-IE"/>
              </w:rPr>
              <w:t>7: The City Urban Villages and Retail</w:t>
            </w:r>
          </w:p>
        </w:tc>
        <w:tc>
          <w:tcPr>
            <w:tcW w:w="1968" w:type="dxa"/>
            <w:hideMark/>
          </w:tcPr>
          <w:p w14:paraId="41C2DBF6" w14:textId="77777777" w:rsidR="00625B5B" w:rsidRPr="00102688" w:rsidRDefault="00625B5B" w:rsidP="00625B5B">
            <w:pPr>
              <w:pStyle w:val="NormalWeb"/>
              <w:rPr>
                <w:sz w:val="20"/>
                <w:szCs w:val="20"/>
                <w:lang w:val="en-IE"/>
              </w:rPr>
            </w:pPr>
            <w:r w:rsidRPr="00102688">
              <w:rPr>
                <w:sz w:val="20"/>
                <w:szCs w:val="20"/>
                <w:lang w:val="en-IE"/>
              </w:rPr>
              <w:t>7.4 Strategic Approach and 7.5 policies and objectives</w:t>
            </w:r>
          </w:p>
        </w:tc>
        <w:tc>
          <w:tcPr>
            <w:tcW w:w="11424" w:type="dxa"/>
            <w:hideMark/>
          </w:tcPr>
          <w:p w14:paraId="6B7D4B60" w14:textId="602983C3" w:rsidR="00625B5B" w:rsidRPr="00102688" w:rsidRDefault="00625B5B" w:rsidP="00625B5B">
            <w:pPr>
              <w:pStyle w:val="NormalWeb"/>
              <w:rPr>
                <w:sz w:val="20"/>
                <w:szCs w:val="20"/>
                <w:lang w:val="en-IE"/>
              </w:rPr>
            </w:pPr>
            <w:r w:rsidRPr="00102688">
              <w:rPr>
                <w:sz w:val="20"/>
                <w:szCs w:val="20"/>
                <w:lang w:val="en-IE"/>
              </w:rPr>
              <w:t>KIN support strategic approach to promote and consolidate the role of urban villages, such as Inchicore and Kilmainham, so that they can provide convenient and attractive access by walking and cycling. That the importance of placemaking, in particular healthy placemaking and an attractive public realm in order to make them better places to live and to visit. (pg. 246/247). Policies CCUV20-26 relate to Inchicore as an identified "Urban Village" and a Village Improvement Plan (VIP) prepared for the village; this initiative is supported by KIN.  Policy CCUV42 (pg265) outlines how public realm improvements and placemaking strategies will support the regeneration and revitalisation of the villages.  KIN support such a measure and would like to see its implementation as soon as possible.</w:t>
            </w:r>
          </w:p>
        </w:tc>
      </w:tr>
      <w:tr w:rsidR="00625B5B" w:rsidRPr="00102688" w14:paraId="13C738D2" w14:textId="77777777" w:rsidTr="00625B5B">
        <w:trPr>
          <w:trHeight w:val="1200"/>
        </w:trPr>
        <w:tc>
          <w:tcPr>
            <w:tcW w:w="421" w:type="dxa"/>
          </w:tcPr>
          <w:p w14:paraId="0AE9572B" w14:textId="634F8E91" w:rsidR="00625B5B" w:rsidRPr="00102688" w:rsidRDefault="00625B5B" w:rsidP="00625B5B">
            <w:pPr>
              <w:pStyle w:val="NormalWeb"/>
              <w:rPr>
                <w:sz w:val="20"/>
                <w:szCs w:val="20"/>
                <w:lang w:val="en-IE"/>
              </w:rPr>
            </w:pPr>
            <w:r>
              <w:rPr>
                <w:sz w:val="20"/>
                <w:szCs w:val="20"/>
                <w:lang w:val="en-IE"/>
              </w:rPr>
              <w:t>7</w:t>
            </w:r>
          </w:p>
        </w:tc>
        <w:tc>
          <w:tcPr>
            <w:tcW w:w="1575" w:type="dxa"/>
            <w:hideMark/>
          </w:tcPr>
          <w:p w14:paraId="5B8B5804" w14:textId="53414B0F" w:rsidR="00625B5B" w:rsidRPr="00102688" w:rsidRDefault="00625B5B" w:rsidP="00625B5B">
            <w:pPr>
              <w:pStyle w:val="NormalWeb"/>
              <w:rPr>
                <w:sz w:val="20"/>
                <w:szCs w:val="20"/>
                <w:lang w:val="en-IE"/>
              </w:rPr>
            </w:pPr>
            <w:r w:rsidRPr="00102688">
              <w:rPr>
                <w:sz w:val="20"/>
                <w:szCs w:val="20"/>
                <w:lang w:val="en-IE"/>
              </w:rPr>
              <w:t>8: Sustainable Movement and transport</w:t>
            </w:r>
          </w:p>
        </w:tc>
        <w:tc>
          <w:tcPr>
            <w:tcW w:w="1968" w:type="dxa"/>
            <w:hideMark/>
          </w:tcPr>
          <w:p w14:paraId="0BBC8080" w14:textId="77777777" w:rsidR="00625B5B" w:rsidRPr="00102688" w:rsidRDefault="00625B5B" w:rsidP="00625B5B">
            <w:pPr>
              <w:pStyle w:val="NormalWeb"/>
              <w:rPr>
                <w:sz w:val="20"/>
                <w:szCs w:val="20"/>
                <w:lang w:val="en-IE"/>
              </w:rPr>
            </w:pPr>
            <w:r w:rsidRPr="00102688">
              <w:rPr>
                <w:sz w:val="20"/>
                <w:szCs w:val="20"/>
                <w:lang w:val="en-IE"/>
              </w:rPr>
              <w:t>8.5.4 Accessibility for All</w:t>
            </w:r>
          </w:p>
        </w:tc>
        <w:tc>
          <w:tcPr>
            <w:tcW w:w="11424" w:type="dxa"/>
            <w:hideMark/>
          </w:tcPr>
          <w:p w14:paraId="599A6951" w14:textId="36E43080" w:rsidR="00625B5B" w:rsidRPr="00102688" w:rsidRDefault="00625B5B" w:rsidP="00625B5B">
            <w:pPr>
              <w:pStyle w:val="NormalWeb"/>
              <w:rPr>
                <w:sz w:val="20"/>
                <w:szCs w:val="20"/>
                <w:lang w:val="en-IE"/>
              </w:rPr>
            </w:pPr>
            <w:r w:rsidRPr="00102688">
              <w:rPr>
                <w:sz w:val="20"/>
                <w:szCs w:val="20"/>
                <w:lang w:val="en-IE"/>
              </w:rPr>
              <w:t>KIN support the Urban Village policy SMT11 "Pedestrians and Public Realm" "to enhance the attractiveness and liveability of the city through continued reallocation of space to pedestrians and public realm to provide safe and comfortable street environment for pedestrians of all ages and abilities". (pg. 286) The implementation of such a policy in Inchicore Village would dramatically improve placemaking and sense of place in this village.</w:t>
            </w:r>
          </w:p>
        </w:tc>
      </w:tr>
      <w:tr w:rsidR="00625B5B" w:rsidRPr="00102688" w14:paraId="7A4DDE5A" w14:textId="77777777" w:rsidTr="00625B5B">
        <w:trPr>
          <w:trHeight w:val="1500"/>
        </w:trPr>
        <w:tc>
          <w:tcPr>
            <w:tcW w:w="421" w:type="dxa"/>
          </w:tcPr>
          <w:p w14:paraId="084F4C9F" w14:textId="696ED1F6" w:rsidR="00625B5B" w:rsidRPr="00102688" w:rsidRDefault="00625B5B" w:rsidP="00625B5B">
            <w:pPr>
              <w:pStyle w:val="NormalWeb"/>
              <w:rPr>
                <w:sz w:val="20"/>
                <w:szCs w:val="20"/>
                <w:lang w:val="en-IE"/>
              </w:rPr>
            </w:pPr>
            <w:r>
              <w:rPr>
                <w:sz w:val="20"/>
                <w:szCs w:val="20"/>
                <w:lang w:val="en-IE"/>
              </w:rPr>
              <w:lastRenderedPageBreak/>
              <w:t>8</w:t>
            </w:r>
          </w:p>
        </w:tc>
        <w:tc>
          <w:tcPr>
            <w:tcW w:w="1575" w:type="dxa"/>
            <w:hideMark/>
          </w:tcPr>
          <w:p w14:paraId="5CDB9572" w14:textId="34C1C27F" w:rsidR="00625B5B" w:rsidRPr="00102688" w:rsidRDefault="00625B5B" w:rsidP="00625B5B">
            <w:pPr>
              <w:pStyle w:val="NormalWeb"/>
              <w:rPr>
                <w:sz w:val="20"/>
                <w:szCs w:val="20"/>
                <w:lang w:val="en-IE"/>
              </w:rPr>
            </w:pPr>
            <w:r w:rsidRPr="00102688">
              <w:rPr>
                <w:sz w:val="20"/>
                <w:szCs w:val="20"/>
                <w:lang w:val="en-IE"/>
              </w:rPr>
              <w:t>9: Sustainable Environmental Infrastructure and Flood Risk</w:t>
            </w:r>
          </w:p>
        </w:tc>
        <w:tc>
          <w:tcPr>
            <w:tcW w:w="1968" w:type="dxa"/>
            <w:hideMark/>
          </w:tcPr>
          <w:p w14:paraId="6F01295A" w14:textId="77777777" w:rsidR="00625B5B" w:rsidRPr="00102688" w:rsidRDefault="00625B5B" w:rsidP="00625B5B">
            <w:pPr>
              <w:pStyle w:val="NormalWeb"/>
              <w:rPr>
                <w:sz w:val="20"/>
                <w:szCs w:val="20"/>
                <w:lang w:val="en-IE"/>
              </w:rPr>
            </w:pPr>
            <w:r w:rsidRPr="00102688">
              <w:rPr>
                <w:sz w:val="20"/>
                <w:szCs w:val="20"/>
                <w:lang w:val="en-IE"/>
              </w:rPr>
              <w:t>9.5 Policies and Objectives - River Corridor Restoration</w:t>
            </w:r>
          </w:p>
        </w:tc>
        <w:tc>
          <w:tcPr>
            <w:tcW w:w="11424" w:type="dxa"/>
            <w:hideMark/>
          </w:tcPr>
          <w:p w14:paraId="1A9C53F7" w14:textId="746DDE7F" w:rsidR="00625B5B" w:rsidRPr="00102688" w:rsidRDefault="00625B5B" w:rsidP="00625B5B">
            <w:pPr>
              <w:pStyle w:val="NormalWeb"/>
              <w:rPr>
                <w:sz w:val="20"/>
                <w:szCs w:val="20"/>
                <w:lang w:val="en-IE"/>
              </w:rPr>
            </w:pPr>
            <w:r w:rsidRPr="00102688">
              <w:rPr>
                <w:sz w:val="20"/>
                <w:szCs w:val="20"/>
                <w:lang w:val="en-IE"/>
              </w:rPr>
              <w:t>KIN support the inclusion of a River Corridor Restoration strategy in line with WFD, RBMP and Climate change adaptation.  In particular the inclusion of a set-back distance along the River Camac to safeguard the restoration integrity. Policies SI11 and SI12 (pg. 321) relate to developments along the river Camac and impact upon SDRA 7 and SDRA 9 relating to the opportunity for enhancing the Camac river corridor (both the ecological functioning and water quality) and aligns to principles of river restoration in the Kilmainham and Inchicore Area.  The minimum set back distances outlined in this policy are supported by KIN.</w:t>
            </w:r>
          </w:p>
        </w:tc>
      </w:tr>
      <w:tr w:rsidR="00E7039D" w:rsidRPr="00102688" w14:paraId="22A81D12" w14:textId="77777777" w:rsidTr="00E7039D">
        <w:trPr>
          <w:trHeight w:val="1801"/>
        </w:trPr>
        <w:tc>
          <w:tcPr>
            <w:tcW w:w="421" w:type="dxa"/>
          </w:tcPr>
          <w:p w14:paraId="716FB35E" w14:textId="4277FD3D" w:rsidR="00E7039D" w:rsidRDefault="00D41B96" w:rsidP="00625B5B">
            <w:pPr>
              <w:pStyle w:val="NormalWeb"/>
              <w:rPr>
                <w:sz w:val="20"/>
                <w:szCs w:val="20"/>
                <w:lang w:val="en-IE"/>
              </w:rPr>
            </w:pPr>
            <w:r>
              <w:rPr>
                <w:sz w:val="20"/>
                <w:szCs w:val="20"/>
                <w:lang w:val="en-IE"/>
              </w:rPr>
              <w:t>9</w:t>
            </w:r>
          </w:p>
        </w:tc>
        <w:tc>
          <w:tcPr>
            <w:tcW w:w="1575" w:type="dxa"/>
          </w:tcPr>
          <w:p w14:paraId="65411B7A" w14:textId="762A49B6" w:rsidR="00E7039D" w:rsidRPr="00102688" w:rsidRDefault="00E7039D" w:rsidP="00625B5B">
            <w:pPr>
              <w:pStyle w:val="NormalWeb"/>
              <w:rPr>
                <w:sz w:val="20"/>
                <w:szCs w:val="20"/>
                <w:lang w:val="en-IE"/>
              </w:rPr>
            </w:pPr>
            <w:r>
              <w:rPr>
                <w:sz w:val="20"/>
                <w:szCs w:val="20"/>
                <w:lang w:val="en-IE"/>
              </w:rPr>
              <w:t>10: Green Infrastructure</w:t>
            </w:r>
          </w:p>
        </w:tc>
        <w:tc>
          <w:tcPr>
            <w:tcW w:w="1968" w:type="dxa"/>
          </w:tcPr>
          <w:p w14:paraId="0DC7FAC1" w14:textId="14E70CA5" w:rsidR="00E7039D" w:rsidRPr="00102688" w:rsidRDefault="00E7039D" w:rsidP="00E7039D">
            <w:pPr>
              <w:pStyle w:val="NormalWeb"/>
              <w:rPr>
                <w:sz w:val="20"/>
                <w:szCs w:val="20"/>
                <w:lang w:val="en-IE"/>
              </w:rPr>
            </w:pPr>
            <w:r>
              <w:rPr>
                <w:sz w:val="20"/>
                <w:szCs w:val="20"/>
                <w:lang w:val="en-IE"/>
              </w:rPr>
              <w:t>10.5.1 Policies and Objectives – Green Infrastructure</w:t>
            </w:r>
          </w:p>
        </w:tc>
        <w:tc>
          <w:tcPr>
            <w:tcW w:w="11424" w:type="dxa"/>
          </w:tcPr>
          <w:p w14:paraId="7B3BDCEA" w14:textId="77777777" w:rsidR="00E7039D" w:rsidRDefault="00E7039D" w:rsidP="00E7039D">
            <w:pPr>
              <w:pStyle w:val="NormalWeb"/>
              <w:rPr>
                <w:i/>
                <w:iCs/>
                <w:sz w:val="20"/>
                <w:szCs w:val="20"/>
              </w:rPr>
            </w:pPr>
            <w:r w:rsidRPr="00E7039D">
              <w:rPr>
                <w:b/>
                <w:bCs/>
                <w:sz w:val="20"/>
                <w:szCs w:val="20"/>
              </w:rPr>
              <w:t>Objective GIO2 Preparation of a Green Infrastructure Strategy for Dublin City</w:t>
            </w:r>
            <w:r>
              <w:rPr>
                <w:b/>
                <w:bCs/>
                <w:sz w:val="20"/>
                <w:szCs w:val="20"/>
              </w:rPr>
              <w:t xml:space="preserve">: </w:t>
            </w:r>
            <w:r w:rsidRPr="00E7039D">
              <w:rPr>
                <w:i/>
                <w:iCs/>
                <w:sz w:val="20"/>
                <w:szCs w:val="20"/>
              </w:rPr>
              <w:t xml:space="preserve">To prepare a Green Infrastructure Strategy for Dublin City that will include a newly developed set of green micro areas. </w:t>
            </w:r>
          </w:p>
          <w:p w14:paraId="4BEB7303" w14:textId="38CC9205" w:rsidR="00E7039D" w:rsidRPr="00102688" w:rsidRDefault="00E7039D" w:rsidP="00E7039D">
            <w:pPr>
              <w:pStyle w:val="NormalWeb"/>
              <w:rPr>
                <w:sz w:val="20"/>
                <w:szCs w:val="20"/>
                <w:lang w:val="en-IE"/>
              </w:rPr>
            </w:pPr>
            <w:r w:rsidRPr="00E7039D">
              <w:rPr>
                <w:sz w:val="20"/>
                <w:szCs w:val="20"/>
              </w:rPr>
              <w:br/>
            </w:r>
            <w:r>
              <w:rPr>
                <w:bCs/>
                <w:sz w:val="20"/>
                <w:szCs w:val="20"/>
              </w:rPr>
              <w:t xml:space="preserve">KIN </w:t>
            </w:r>
            <w:r w:rsidRPr="00E7039D">
              <w:rPr>
                <w:bCs/>
                <w:sz w:val="20"/>
                <w:szCs w:val="20"/>
              </w:rPr>
              <w:t>fully support the proposed Green Infrastructure Strategy for Dublin City that will include a newly developed set of green micro areas</w:t>
            </w:r>
            <w:r>
              <w:rPr>
                <w:bCs/>
                <w:sz w:val="20"/>
                <w:szCs w:val="20"/>
              </w:rPr>
              <w:t xml:space="preserve">.  </w:t>
            </w:r>
            <w:r w:rsidRPr="00E7039D">
              <w:rPr>
                <w:bCs/>
                <w:sz w:val="20"/>
                <w:szCs w:val="20"/>
              </w:rPr>
              <w:t xml:space="preserve">We believe that there are great potential opportunities for micro greening initiatives in Dublin 8. </w:t>
            </w:r>
            <w:r>
              <w:rPr>
                <w:bCs/>
                <w:sz w:val="20"/>
                <w:szCs w:val="20"/>
              </w:rPr>
              <w:t xml:space="preserve">We support D8 Green Bridge Forum and their </w:t>
            </w:r>
            <w:r w:rsidRPr="00E7039D">
              <w:rPr>
                <w:bCs/>
                <w:sz w:val="20"/>
                <w:szCs w:val="20"/>
              </w:rPr>
              <w:t xml:space="preserve">proposals </w:t>
            </w:r>
            <w:r>
              <w:rPr>
                <w:bCs/>
                <w:sz w:val="20"/>
                <w:szCs w:val="20"/>
              </w:rPr>
              <w:t>in regard to green micro areas b</w:t>
            </w:r>
            <w:r w:rsidRPr="00E7039D">
              <w:rPr>
                <w:bCs/>
                <w:sz w:val="20"/>
                <w:szCs w:val="20"/>
              </w:rPr>
              <w:t>etween the Camac and Liffey that demonstrate the potential for local community contributions.</w:t>
            </w:r>
          </w:p>
        </w:tc>
      </w:tr>
      <w:tr w:rsidR="00625B5B" w:rsidRPr="00102688" w14:paraId="34AFB9B5" w14:textId="77777777" w:rsidTr="00625B5B">
        <w:trPr>
          <w:trHeight w:val="600"/>
        </w:trPr>
        <w:tc>
          <w:tcPr>
            <w:tcW w:w="421" w:type="dxa"/>
          </w:tcPr>
          <w:p w14:paraId="262E8A94" w14:textId="2BB8E5FE" w:rsidR="00625B5B" w:rsidRPr="00102688" w:rsidRDefault="00D41B96" w:rsidP="00625B5B">
            <w:pPr>
              <w:pStyle w:val="NormalWeb"/>
              <w:rPr>
                <w:sz w:val="20"/>
                <w:szCs w:val="20"/>
                <w:lang w:val="en-IE"/>
              </w:rPr>
            </w:pPr>
            <w:r>
              <w:rPr>
                <w:sz w:val="20"/>
                <w:szCs w:val="20"/>
                <w:lang w:val="en-IE"/>
              </w:rPr>
              <w:t>10</w:t>
            </w:r>
          </w:p>
        </w:tc>
        <w:tc>
          <w:tcPr>
            <w:tcW w:w="1575" w:type="dxa"/>
            <w:hideMark/>
          </w:tcPr>
          <w:p w14:paraId="185828AB" w14:textId="653B1201" w:rsidR="00625B5B" w:rsidRPr="00102688" w:rsidRDefault="00625B5B" w:rsidP="00625B5B">
            <w:pPr>
              <w:pStyle w:val="NormalWeb"/>
              <w:rPr>
                <w:sz w:val="20"/>
                <w:szCs w:val="20"/>
                <w:lang w:val="en-IE"/>
              </w:rPr>
            </w:pPr>
            <w:r w:rsidRPr="00102688">
              <w:rPr>
                <w:sz w:val="20"/>
                <w:szCs w:val="20"/>
                <w:lang w:val="en-IE"/>
              </w:rPr>
              <w:t>11: Built Heritage and Archaeology</w:t>
            </w:r>
          </w:p>
        </w:tc>
        <w:tc>
          <w:tcPr>
            <w:tcW w:w="1968" w:type="dxa"/>
            <w:hideMark/>
          </w:tcPr>
          <w:p w14:paraId="091CF946" w14:textId="77777777" w:rsidR="00625B5B" w:rsidRPr="00102688" w:rsidRDefault="00625B5B" w:rsidP="00625B5B">
            <w:pPr>
              <w:pStyle w:val="NormalWeb"/>
              <w:rPr>
                <w:sz w:val="20"/>
                <w:szCs w:val="20"/>
                <w:lang w:val="en-IE"/>
              </w:rPr>
            </w:pPr>
            <w:r w:rsidRPr="00102688">
              <w:rPr>
                <w:sz w:val="20"/>
                <w:szCs w:val="20"/>
                <w:lang w:val="en-IE"/>
              </w:rPr>
              <w:t xml:space="preserve">11.5.2 Architectural Conservation Areas </w:t>
            </w:r>
          </w:p>
        </w:tc>
        <w:tc>
          <w:tcPr>
            <w:tcW w:w="11424" w:type="dxa"/>
            <w:hideMark/>
          </w:tcPr>
          <w:p w14:paraId="37939B0B" w14:textId="462E21F6" w:rsidR="00625B5B" w:rsidRPr="00102688" w:rsidRDefault="00625B5B" w:rsidP="00625B5B">
            <w:pPr>
              <w:pStyle w:val="NormalWeb"/>
              <w:rPr>
                <w:sz w:val="20"/>
                <w:szCs w:val="20"/>
                <w:lang w:val="en-IE"/>
              </w:rPr>
            </w:pPr>
            <w:r w:rsidRPr="00102688">
              <w:rPr>
                <w:sz w:val="20"/>
                <w:szCs w:val="20"/>
                <w:lang w:val="en-IE"/>
              </w:rPr>
              <w:t>KIN support the prioritisation of Ceannt Fort and CIE Estate Inchicore as areas for future designation of ACA. (pg. 401)</w:t>
            </w:r>
          </w:p>
        </w:tc>
      </w:tr>
      <w:tr w:rsidR="00625B5B" w:rsidRPr="00102688" w14:paraId="68A7075A" w14:textId="77777777" w:rsidTr="00625B5B">
        <w:trPr>
          <w:trHeight w:val="1200"/>
        </w:trPr>
        <w:tc>
          <w:tcPr>
            <w:tcW w:w="421" w:type="dxa"/>
          </w:tcPr>
          <w:p w14:paraId="74938527" w14:textId="7212165F" w:rsidR="00625B5B" w:rsidRPr="00102688" w:rsidRDefault="00625B5B" w:rsidP="00625B5B">
            <w:pPr>
              <w:pStyle w:val="NormalWeb"/>
              <w:rPr>
                <w:sz w:val="20"/>
                <w:szCs w:val="20"/>
                <w:lang w:val="en-IE"/>
              </w:rPr>
            </w:pPr>
            <w:r>
              <w:rPr>
                <w:sz w:val="20"/>
                <w:szCs w:val="20"/>
                <w:lang w:val="en-IE"/>
              </w:rPr>
              <w:t>1</w:t>
            </w:r>
            <w:r w:rsidR="00D41B96">
              <w:rPr>
                <w:sz w:val="20"/>
                <w:szCs w:val="20"/>
                <w:lang w:val="en-IE"/>
              </w:rPr>
              <w:t>1</w:t>
            </w:r>
          </w:p>
        </w:tc>
        <w:tc>
          <w:tcPr>
            <w:tcW w:w="1575" w:type="dxa"/>
            <w:hideMark/>
          </w:tcPr>
          <w:p w14:paraId="54741DE2" w14:textId="62871DEA" w:rsidR="00625B5B" w:rsidRPr="00102688" w:rsidRDefault="00625B5B" w:rsidP="00625B5B">
            <w:pPr>
              <w:pStyle w:val="NormalWeb"/>
              <w:rPr>
                <w:sz w:val="20"/>
                <w:szCs w:val="20"/>
                <w:lang w:val="en-IE"/>
              </w:rPr>
            </w:pPr>
            <w:r w:rsidRPr="00102688">
              <w:rPr>
                <w:sz w:val="20"/>
                <w:szCs w:val="20"/>
                <w:lang w:val="en-IE"/>
              </w:rPr>
              <w:t>12: Culture</w:t>
            </w:r>
          </w:p>
        </w:tc>
        <w:tc>
          <w:tcPr>
            <w:tcW w:w="1968" w:type="dxa"/>
            <w:hideMark/>
          </w:tcPr>
          <w:p w14:paraId="05AB4BBC" w14:textId="77777777" w:rsidR="00625B5B" w:rsidRPr="00102688" w:rsidRDefault="00625B5B" w:rsidP="00625B5B">
            <w:pPr>
              <w:pStyle w:val="NormalWeb"/>
              <w:rPr>
                <w:sz w:val="20"/>
                <w:szCs w:val="20"/>
                <w:lang w:val="en-IE"/>
              </w:rPr>
            </w:pPr>
            <w:r w:rsidRPr="00102688">
              <w:rPr>
                <w:sz w:val="20"/>
                <w:szCs w:val="20"/>
                <w:lang w:val="en-IE"/>
              </w:rPr>
              <w:t>12.5.2 Cultural Hubs and Quarters</w:t>
            </w:r>
          </w:p>
        </w:tc>
        <w:tc>
          <w:tcPr>
            <w:tcW w:w="11424" w:type="dxa"/>
            <w:hideMark/>
          </w:tcPr>
          <w:p w14:paraId="17851C9A" w14:textId="68E38776" w:rsidR="00625B5B" w:rsidRPr="00102688" w:rsidRDefault="00625B5B" w:rsidP="00625B5B">
            <w:pPr>
              <w:pStyle w:val="NormalWeb"/>
              <w:rPr>
                <w:sz w:val="20"/>
                <w:szCs w:val="20"/>
                <w:lang w:val="en-IE"/>
              </w:rPr>
            </w:pPr>
            <w:r w:rsidRPr="00102688">
              <w:rPr>
                <w:sz w:val="20"/>
                <w:szCs w:val="20"/>
                <w:lang w:val="en-IE"/>
              </w:rPr>
              <w:t>KIN welcome that Kilmainham/Inchicore has been identified as a cultural quarter within Dublin City and that DCC will continue to support, develop, nurture and seek the creation of additional spaces where the opportunity arises. Policy CU7 and objectives CUO11-14 with regard to cultural clusters, Kilmainham Mill, Heritage Trail and Networks, Dublin 8 regeneration and Museum /Heritage Facility at Inchicore Works (CUO14) is welcomed (pg. 440-442).</w:t>
            </w:r>
          </w:p>
        </w:tc>
      </w:tr>
      <w:tr w:rsidR="00625B5B" w:rsidRPr="00102688" w14:paraId="633425E4" w14:textId="77777777" w:rsidTr="00625B5B">
        <w:trPr>
          <w:trHeight w:val="900"/>
        </w:trPr>
        <w:tc>
          <w:tcPr>
            <w:tcW w:w="421" w:type="dxa"/>
          </w:tcPr>
          <w:p w14:paraId="67924412" w14:textId="6DB0EF35" w:rsidR="00625B5B" w:rsidRPr="00102688" w:rsidRDefault="00625B5B" w:rsidP="00625B5B">
            <w:pPr>
              <w:pStyle w:val="NormalWeb"/>
              <w:rPr>
                <w:sz w:val="20"/>
                <w:szCs w:val="20"/>
                <w:lang w:val="en-IE"/>
              </w:rPr>
            </w:pPr>
            <w:r>
              <w:rPr>
                <w:sz w:val="20"/>
                <w:szCs w:val="20"/>
                <w:lang w:val="en-IE"/>
              </w:rPr>
              <w:t>1</w:t>
            </w:r>
            <w:r w:rsidR="00D41B96">
              <w:rPr>
                <w:sz w:val="20"/>
                <w:szCs w:val="20"/>
                <w:lang w:val="en-IE"/>
              </w:rPr>
              <w:t>2</w:t>
            </w:r>
          </w:p>
        </w:tc>
        <w:tc>
          <w:tcPr>
            <w:tcW w:w="1575" w:type="dxa"/>
            <w:hideMark/>
          </w:tcPr>
          <w:p w14:paraId="6AD1E581" w14:textId="5A681FA1" w:rsidR="00625B5B" w:rsidRPr="00102688" w:rsidRDefault="00625B5B" w:rsidP="00625B5B">
            <w:pPr>
              <w:pStyle w:val="NormalWeb"/>
              <w:rPr>
                <w:sz w:val="20"/>
                <w:szCs w:val="20"/>
                <w:lang w:val="en-IE"/>
              </w:rPr>
            </w:pPr>
            <w:r w:rsidRPr="00102688">
              <w:rPr>
                <w:sz w:val="20"/>
                <w:szCs w:val="20"/>
                <w:lang w:val="en-IE"/>
              </w:rPr>
              <w:t>12: Culture</w:t>
            </w:r>
          </w:p>
        </w:tc>
        <w:tc>
          <w:tcPr>
            <w:tcW w:w="1968" w:type="dxa"/>
            <w:hideMark/>
          </w:tcPr>
          <w:p w14:paraId="115E6F97" w14:textId="77777777" w:rsidR="00625B5B" w:rsidRPr="00102688" w:rsidRDefault="00625B5B" w:rsidP="00625B5B">
            <w:pPr>
              <w:pStyle w:val="NormalWeb"/>
              <w:rPr>
                <w:sz w:val="20"/>
                <w:szCs w:val="20"/>
                <w:lang w:val="en-IE"/>
              </w:rPr>
            </w:pPr>
            <w:r w:rsidRPr="00102688">
              <w:rPr>
                <w:sz w:val="20"/>
                <w:szCs w:val="20"/>
                <w:lang w:val="en-IE"/>
              </w:rPr>
              <w:t>12.5.3 Supporting Cultural Vibrancy in the City</w:t>
            </w:r>
          </w:p>
        </w:tc>
        <w:tc>
          <w:tcPr>
            <w:tcW w:w="11424" w:type="dxa"/>
            <w:hideMark/>
          </w:tcPr>
          <w:p w14:paraId="6EEBB2B8" w14:textId="0C8A46B8" w:rsidR="00625B5B" w:rsidRPr="00102688" w:rsidRDefault="00625B5B" w:rsidP="00625B5B">
            <w:pPr>
              <w:pStyle w:val="NormalWeb"/>
              <w:rPr>
                <w:sz w:val="20"/>
                <w:szCs w:val="20"/>
                <w:lang w:val="en-IE"/>
              </w:rPr>
            </w:pPr>
            <w:r w:rsidRPr="00102688">
              <w:rPr>
                <w:sz w:val="20"/>
                <w:szCs w:val="20"/>
                <w:lang w:val="en-IE"/>
              </w:rPr>
              <w:t>Policy CU14 (pg. 447) and CUO30 (pg. 451) - Cultural Uses in Developments on Former Industrial Lands - KIN support this policy in particular in relation to Goldenbridge Industrial Estate and are glad to see a policy ensuring that any new development here must incorporate cultural uses as part of new mixed use communities and that at least one studio/rehearsal space or venue should be included.</w:t>
            </w:r>
          </w:p>
        </w:tc>
      </w:tr>
      <w:tr w:rsidR="00625B5B" w:rsidRPr="00102688" w14:paraId="707EA4F4" w14:textId="77777777" w:rsidTr="00625B5B">
        <w:trPr>
          <w:trHeight w:val="300"/>
        </w:trPr>
        <w:tc>
          <w:tcPr>
            <w:tcW w:w="421" w:type="dxa"/>
          </w:tcPr>
          <w:p w14:paraId="495AF1FD" w14:textId="544E188D" w:rsidR="00625B5B" w:rsidRPr="00102688" w:rsidRDefault="00625B5B" w:rsidP="00625B5B">
            <w:pPr>
              <w:pStyle w:val="NormalWeb"/>
              <w:rPr>
                <w:sz w:val="20"/>
                <w:szCs w:val="20"/>
                <w:lang w:val="en-IE"/>
              </w:rPr>
            </w:pPr>
            <w:r>
              <w:rPr>
                <w:sz w:val="20"/>
                <w:szCs w:val="20"/>
                <w:lang w:val="en-IE"/>
              </w:rPr>
              <w:t>1</w:t>
            </w:r>
            <w:r w:rsidR="00D41B96">
              <w:rPr>
                <w:sz w:val="20"/>
                <w:szCs w:val="20"/>
                <w:lang w:val="en-IE"/>
              </w:rPr>
              <w:t>3</w:t>
            </w:r>
          </w:p>
        </w:tc>
        <w:tc>
          <w:tcPr>
            <w:tcW w:w="1575" w:type="dxa"/>
            <w:hideMark/>
          </w:tcPr>
          <w:p w14:paraId="629E8F24" w14:textId="714A458C" w:rsidR="00625B5B" w:rsidRPr="00102688" w:rsidRDefault="00625B5B" w:rsidP="00625B5B">
            <w:pPr>
              <w:pStyle w:val="NormalWeb"/>
              <w:rPr>
                <w:sz w:val="20"/>
                <w:szCs w:val="20"/>
                <w:lang w:val="en-IE"/>
              </w:rPr>
            </w:pPr>
            <w:r w:rsidRPr="00102688">
              <w:rPr>
                <w:sz w:val="20"/>
                <w:szCs w:val="20"/>
                <w:lang w:val="en-IE"/>
              </w:rPr>
              <w:t>13. SDRA 9 Emmet Road</w:t>
            </w:r>
          </w:p>
        </w:tc>
        <w:tc>
          <w:tcPr>
            <w:tcW w:w="1968" w:type="dxa"/>
            <w:hideMark/>
          </w:tcPr>
          <w:p w14:paraId="77E646D2" w14:textId="77777777" w:rsidR="00625B5B" w:rsidRPr="00102688" w:rsidRDefault="00625B5B" w:rsidP="00625B5B">
            <w:pPr>
              <w:pStyle w:val="NormalWeb"/>
              <w:rPr>
                <w:sz w:val="20"/>
                <w:szCs w:val="20"/>
                <w:lang w:val="en-IE"/>
              </w:rPr>
            </w:pPr>
            <w:r w:rsidRPr="00102688">
              <w:rPr>
                <w:sz w:val="20"/>
                <w:szCs w:val="20"/>
                <w:lang w:val="en-IE"/>
              </w:rPr>
              <w:t>13.11.4  Davitt Road East</w:t>
            </w:r>
          </w:p>
        </w:tc>
        <w:tc>
          <w:tcPr>
            <w:tcW w:w="11424" w:type="dxa"/>
            <w:hideMark/>
          </w:tcPr>
          <w:p w14:paraId="5837D1F6" w14:textId="59AA2E8E" w:rsidR="00625B5B" w:rsidRPr="00102688" w:rsidRDefault="00625B5B" w:rsidP="00625B5B">
            <w:pPr>
              <w:pStyle w:val="NormalWeb"/>
              <w:rPr>
                <w:sz w:val="20"/>
                <w:szCs w:val="20"/>
                <w:lang w:val="en-IE"/>
              </w:rPr>
            </w:pPr>
            <w:r w:rsidRPr="00102688">
              <w:rPr>
                <w:sz w:val="20"/>
                <w:szCs w:val="20"/>
                <w:lang w:val="en-IE"/>
              </w:rPr>
              <w:t>KIN support the proposed upgrading and greening of the unused public space on the Canal at the end of Goldenbridge Terrace, pg. 540.</w:t>
            </w:r>
          </w:p>
        </w:tc>
      </w:tr>
      <w:tr w:rsidR="00625B5B" w:rsidRPr="00102688" w14:paraId="47321AA8" w14:textId="77777777" w:rsidTr="00625B5B">
        <w:trPr>
          <w:trHeight w:val="600"/>
        </w:trPr>
        <w:tc>
          <w:tcPr>
            <w:tcW w:w="421" w:type="dxa"/>
          </w:tcPr>
          <w:p w14:paraId="0E73C35C" w14:textId="772511B4" w:rsidR="00625B5B" w:rsidRPr="00102688" w:rsidRDefault="00625B5B" w:rsidP="00625B5B">
            <w:pPr>
              <w:pStyle w:val="NormalWeb"/>
              <w:rPr>
                <w:sz w:val="20"/>
                <w:szCs w:val="20"/>
                <w:lang w:val="en-IE"/>
              </w:rPr>
            </w:pPr>
            <w:r>
              <w:rPr>
                <w:sz w:val="20"/>
                <w:szCs w:val="20"/>
                <w:lang w:val="en-IE"/>
              </w:rPr>
              <w:t>1</w:t>
            </w:r>
            <w:r w:rsidR="00D41B96">
              <w:rPr>
                <w:sz w:val="20"/>
                <w:szCs w:val="20"/>
                <w:lang w:val="en-IE"/>
              </w:rPr>
              <w:t>4</w:t>
            </w:r>
          </w:p>
        </w:tc>
        <w:tc>
          <w:tcPr>
            <w:tcW w:w="1575" w:type="dxa"/>
            <w:hideMark/>
          </w:tcPr>
          <w:p w14:paraId="458B15A2" w14:textId="41024091" w:rsidR="00625B5B" w:rsidRPr="00102688" w:rsidRDefault="00625B5B" w:rsidP="00625B5B">
            <w:pPr>
              <w:pStyle w:val="NormalWeb"/>
              <w:rPr>
                <w:sz w:val="20"/>
                <w:szCs w:val="20"/>
                <w:lang w:val="en-IE"/>
              </w:rPr>
            </w:pPr>
            <w:r w:rsidRPr="00102688">
              <w:rPr>
                <w:sz w:val="20"/>
                <w:szCs w:val="20"/>
                <w:lang w:val="en-IE"/>
              </w:rPr>
              <w:t>13. SDRA 9 Emmet Road</w:t>
            </w:r>
          </w:p>
        </w:tc>
        <w:tc>
          <w:tcPr>
            <w:tcW w:w="1968" w:type="dxa"/>
            <w:hideMark/>
          </w:tcPr>
          <w:p w14:paraId="03C9BE66" w14:textId="77777777" w:rsidR="00625B5B" w:rsidRPr="00102688" w:rsidRDefault="00625B5B" w:rsidP="00625B5B">
            <w:pPr>
              <w:pStyle w:val="NormalWeb"/>
              <w:rPr>
                <w:sz w:val="20"/>
                <w:szCs w:val="20"/>
                <w:lang w:val="en-IE"/>
              </w:rPr>
            </w:pPr>
            <w:r w:rsidRPr="00102688">
              <w:rPr>
                <w:sz w:val="20"/>
                <w:szCs w:val="20"/>
                <w:lang w:val="en-IE"/>
              </w:rPr>
              <w:t>13.11 Figure 13-9</w:t>
            </w:r>
          </w:p>
        </w:tc>
        <w:tc>
          <w:tcPr>
            <w:tcW w:w="11424" w:type="dxa"/>
            <w:hideMark/>
          </w:tcPr>
          <w:p w14:paraId="6D99FAA9" w14:textId="34FE02D5" w:rsidR="00625B5B" w:rsidRPr="00102688" w:rsidRDefault="00625B5B" w:rsidP="00625B5B">
            <w:pPr>
              <w:pStyle w:val="NormalWeb"/>
              <w:rPr>
                <w:sz w:val="20"/>
                <w:szCs w:val="20"/>
                <w:lang w:val="en-IE"/>
              </w:rPr>
            </w:pPr>
            <w:r w:rsidRPr="00102688">
              <w:rPr>
                <w:sz w:val="20"/>
                <w:szCs w:val="20"/>
                <w:lang w:val="en-IE"/>
              </w:rPr>
              <w:t>KIN support the proposed upgrading and expansion of the public space at Devoy Road near "the Pitch" as outlined in Figure 13-9: SDRA 9 - Emmet Road, pg. 541</w:t>
            </w:r>
          </w:p>
        </w:tc>
      </w:tr>
      <w:tr w:rsidR="00625B5B" w:rsidRPr="00102688" w14:paraId="00970BF1" w14:textId="77777777" w:rsidTr="00625B5B">
        <w:trPr>
          <w:trHeight w:val="600"/>
        </w:trPr>
        <w:tc>
          <w:tcPr>
            <w:tcW w:w="421" w:type="dxa"/>
          </w:tcPr>
          <w:p w14:paraId="302B238E" w14:textId="13B1BD51" w:rsidR="00625B5B" w:rsidRPr="00102688" w:rsidRDefault="00625B5B" w:rsidP="00625B5B">
            <w:pPr>
              <w:pStyle w:val="NormalWeb"/>
              <w:rPr>
                <w:sz w:val="20"/>
                <w:szCs w:val="20"/>
                <w:lang w:val="en-IE"/>
              </w:rPr>
            </w:pPr>
            <w:r>
              <w:rPr>
                <w:sz w:val="20"/>
                <w:szCs w:val="20"/>
                <w:lang w:val="en-IE"/>
              </w:rPr>
              <w:t>1</w:t>
            </w:r>
            <w:r w:rsidR="00D41B96">
              <w:rPr>
                <w:sz w:val="20"/>
                <w:szCs w:val="20"/>
                <w:lang w:val="en-IE"/>
              </w:rPr>
              <w:t>5</w:t>
            </w:r>
          </w:p>
        </w:tc>
        <w:tc>
          <w:tcPr>
            <w:tcW w:w="1575" w:type="dxa"/>
            <w:hideMark/>
          </w:tcPr>
          <w:p w14:paraId="68358335" w14:textId="0A1A5B3F" w:rsidR="00625B5B" w:rsidRPr="00102688" w:rsidRDefault="00625B5B" w:rsidP="00625B5B">
            <w:pPr>
              <w:pStyle w:val="NormalWeb"/>
              <w:rPr>
                <w:sz w:val="20"/>
                <w:szCs w:val="20"/>
                <w:lang w:val="en-IE"/>
              </w:rPr>
            </w:pPr>
            <w:r w:rsidRPr="00102688">
              <w:rPr>
                <w:sz w:val="20"/>
                <w:szCs w:val="20"/>
                <w:lang w:val="en-IE"/>
              </w:rPr>
              <w:t>13. SDRA 9 Emmet Road</w:t>
            </w:r>
          </w:p>
        </w:tc>
        <w:tc>
          <w:tcPr>
            <w:tcW w:w="1968" w:type="dxa"/>
            <w:hideMark/>
          </w:tcPr>
          <w:p w14:paraId="67F782D6" w14:textId="77777777" w:rsidR="00625B5B" w:rsidRPr="00102688" w:rsidRDefault="00625B5B" w:rsidP="00625B5B">
            <w:pPr>
              <w:pStyle w:val="NormalWeb"/>
              <w:rPr>
                <w:sz w:val="20"/>
                <w:szCs w:val="20"/>
                <w:lang w:val="en-IE"/>
              </w:rPr>
            </w:pPr>
            <w:r w:rsidRPr="00102688">
              <w:rPr>
                <w:sz w:val="20"/>
                <w:szCs w:val="20"/>
                <w:lang w:val="en-IE"/>
              </w:rPr>
              <w:t>13.11 Figure 13-9</w:t>
            </w:r>
          </w:p>
        </w:tc>
        <w:tc>
          <w:tcPr>
            <w:tcW w:w="11424" w:type="dxa"/>
            <w:hideMark/>
          </w:tcPr>
          <w:p w14:paraId="1D632BE1" w14:textId="0AB870FB" w:rsidR="00625B5B" w:rsidRPr="00102688" w:rsidRDefault="00625B5B" w:rsidP="00625B5B">
            <w:pPr>
              <w:pStyle w:val="NormalWeb"/>
              <w:rPr>
                <w:sz w:val="20"/>
                <w:szCs w:val="20"/>
                <w:lang w:val="en-IE"/>
              </w:rPr>
            </w:pPr>
            <w:r w:rsidRPr="00102688">
              <w:rPr>
                <w:sz w:val="20"/>
                <w:szCs w:val="20"/>
                <w:lang w:val="en-IE"/>
              </w:rPr>
              <w:t>KIN support the proposed / improved public space along the river Camac near the Grand Canal connection as outlined in Figure 13-9: SDRA 9 Emmet Road, pg. 541</w:t>
            </w:r>
          </w:p>
        </w:tc>
      </w:tr>
      <w:tr w:rsidR="00625B5B" w:rsidRPr="00102688" w14:paraId="054AEC4E" w14:textId="77777777" w:rsidTr="00625B5B">
        <w:trPr>
          <w:trHeight w:val="711"/>
        </w:trPr>
        <w:tc>
          <w:tcPr>
            <w:tcW w:w="421" w:type="dxa"/>
          </w:tcPr>
          <w:p w14:paraId="4C0542F7" w14:textId="597FC1FB" w:rsidR="00625B5B" w:rsidRPr="00102688" w:rsidRDefault="00625B5B" w:rsidP="00625B5B">
            <w:pPr>
              <w:pStyle w:val="NormalWeb"/>
              <w:rPr>
                <w:sz w:val="20"/>
                <w:szCs w:val="20"/>
                <w:lang w:val="en-IE"/>
              </w:rPr>
            </w:pPr>
            <w:r>
              <w:rPr>
                <w:sz w:val="20"/>
                <w:szCs w:val="20"/>
                <w:lang w:val="en-IE"/>
              </w:rPr>
              <w:t>1</w:t>
            </w:r>
            <w:r w:rsidR="00D41B96">
              <w:rPr>
                <w:sz w:val="20"/>
                <w:szCs w:val="20"/>
                <w:lang w:val="en-IE"/>
              </w:rPr>
              <w:t>6</w:t>
            </w:r>
          </w:p>
        </w:tc>
        <w:tc>
          <w:tcPr>
            <w:tcW w:w="1575" w:type="dxa"/>
            <w:hideMark/>
          </w:tcPr>
          <w:p w14:paraId="3DB1CEAE" w14:textId="01FFC3C0" w:rsidR="00625B5B" w:rsidRPr="00102688" w:rsidRDefault="00625B5B" w:rsidP="00625B5B">
            <w:pPr>
              <w:pStyle w:val="NormalWeb"/>
              <w:rPr>
                <w:sz w:val="20"/>
                <w:szCs w:val="20"/>
                <w:lang w:val="en-IE"/>
              </w:rPr>
            </w:pPr>
            <w:r w:rsidRPr="00102688">
              <w:rPr>
                <w:sz w:val="20"/>
                <w:szCs w:val="20"/>
                <w:lang w:val="en-IE"/>
              </w:rPr>
              <w:t>14: Land Use Zoning</w:t>
            </w:r>
          </w:p>
        </w:tc>
        <w:tc>
          <w:tcPr>
            <w:tcW w:w="1968" w:type="dxa"/>
            <w:hideMark/>
          </w:tcPr>
          <w:p w14:paraId="6952B08B" w14:textId="77777777" w:rsidR="00625B5B" w:rsidRPr="00102688" w:rsidRDefault="00625B5B" w:rsidP="00625B5B">
            <w:pPr>
              <w:pStyle w:val="NormalWeb"/>
              <w:rPr>
                <w:sz w:val="20"/>
                <w:szCs w:val="20"/>
                <w:lang w:val="en-IE"/>
              </w:rPr>
            </w:pPr>
            <w:r w:rsidRPr="00102688">
              <w:rPr>
                <w:sz w:val="20"/>
                <w:szCs w:val="20"/>
                <w:lang w:val="en-IE"/>
              </w:rPr>
              <w:t>14.7.10  Zone Z10</w:t>
            </w:r>
          </w:p>
        </w:tc>
        <w:tc>
          <w:tcPr>
            <w:tcW w:w="11424" w:type="dxa"/>
            <w:hideMark/>
          </w:tcPr>
          <w:p w14:paraId="244BA6CE" w14:textId="757D5B3C" w:rsidR="00625B5B" w:rsidRPr="00102688" w:rsidRDefault="00625B5B" w:rsidP="00625B5B">
            <w:pPr>
              <w:pStyle w:val="NormalWeb"/>
              <w:rPr>
                <w:sz w:val="20"/>
                <w:szCs w:val="20"/>
                <w:lang w:val="en-IE"/>
              </w:rPr>
            </w:pPr>
            <w:r w:rsidRPr="00102688">
              <w:rPr>
                <w:sz w:val="20"/>
                <w:szCs w:val="20"/>
                <w:lang w:val="en-IE"/>
              </w:rPr>
              <w:t>KIN welcome the requirement of a Master Plan for the development of Goldenbridge Industrial Estate given the recent change of zoning for most of the Industrial Estate to Z10: To consolidate and facilitate the development of inner city and inner suburban sites for mixed uses. (pg. 623)</w:t>
            </w:r>
          </w:p>
        </w:tc>
      </w:tr>
    </w:tbl>
    <w:p w14:paraId="7965DDB5" w14:textId="77777777" w:rsidR="00102688" w:rsidRPr="00102688" w:rsidRDefault="00102688" w:rsidP="006656BC">
      <w:pPr>
        <w:pStyle w:val="NormalWeb"/>
        <w:rPr>
          <w:sz w:val="20"/>
          <w:szCs w:val="20"/>
        </w:rPr>
      </w:pPr>
    </w:p>
    <w:p w14:paraId="241018B8" w14:textId="483B0249" w:rsidR="006656BC" w:rsidRPr="00135D77" w:rsidRDefault="006656BC" w:rsidP="006656BC">
      <w:pPr>
        <w:pStyle w:val="NormalWeb"/>
      </w:pPr>
      <w:r w:rsidRPr="00135D77">
        <w:lastRenderedPageBreak/>
        <w:t xml:space="preserve">The </w:t>
      </w:r>
      <w:r w:rsidRPr="00135D77">
        <w:rPr>
          <w:b/>
        </w:rPr>
        <w:t>Kilmainham Inchicore Network</w:t>
      </w:r>
      <w:r w:rsidR="0004010F">
        <w:rPr>
          <w:b/>
        </w:rPr>
        <w:t xml:space="preserve"> (KIN)</w:t>
      </w:r>
      <w:r w:rsidRPr="00135D77">
        <w:t xml:space="preserve"> represents Residents, Businesses and Community Groups in the neighbourhoods of Kilmainham and Inchicore.  </w:t>
      </w:r>
      <w:r w:rsidR="001F1E23">
        <w:t xml:space="preserve"> </w:t>
      </w:r>
      <w:r w:rsidRPr="00437DDC">
        <w:rPr>
          <w:lang w:val="en-GB"/>
        </w:rPr>
        <w:t xml:space="preserve">It is our wish and desire that </w:t>
      </w:r>
      <w:r w:rsidR="00173C28" w:rsidRPr="00437DDC">
        <w:rPr>
          <w:lang w:val="en-GB"/>
        </w:rPr>
        <w:t xml:space="preserve">the </w:t>
      </w:r>
      <w:r w:rsidR="0004010F">
        <w:rPr>
          <w:lang w:val="en-GB"/>
        </w:rPr>
        <w:t>observations outlined above are</w:t>
      </w:r>
      <w:r w:rsidR="00173C28" w:rsidRPr="00437DDC">
        <w:rPr>
          <w:lang w:val="en-GB"/>
        </w:rPr>
        <w:t xml:space="preserve"> given serious consideration with the next stage decision-making plans</w:t>
      </w:r>
      <w:r w:rsidRPr="00437DDC">
        <w:rPr>
          <w:lang w:val="en-GB"/>
        </w:rPr>
        <w:t xml:space="preserve"> for the </w:t>
      </w:r>
      <w:r w:rsidR="001F1E23" w:rsidRPr="001F1E23">
        <w:rPr>
          <w:b/>
          <w:i/>
          <w:lang w:val="en-GB"/>
        </w:rPr>
        <w:t>Dublin City Development Plan 2022-2028</w:t>
      </w:r>
      <w:r w:rsidR="008A22B2" w:rsidRPr="001F1E23">
        <w:rPr>
          <w:b/>
          <w:i/>
          <w:lang w:val="en-GB"/>
        </w:rPr>
        <w:t xml:space="preserve"> </w:t>
      </w:r>
      <w:r w:rsidR="008A22B2">
        <w:rPr>
          <w:lang w:val="en-GB"/>
        </w:rPr>
        <w:t>t</w:t>
      </w:r>
      <w:r w:rsidR="008E4846" w:rsidRPr="00437DDC">
        <w:rPr>
          <w:lang w:val="en-GB"/>
        </w:rPr>
        <w:t xml:space="preserve">o the </w:t>
      </w:r>
      <w:r w:rsidRPr="00437DDC">
        <w:rPr>
          <w:lang w:val="en-GB"/>
        </w:rPr>
        <w:t xml:space="preserve">benefit of all.  </w:t>
      </w:r>
    </w:p>
    <w:p w14:paraId="18911C38" w14:textId="77777777" w:rsidR="006656BC" w:rsidRPr="00135D77" w:rsidRDefault="006656BC" w:rsidP="00DE7862">
      <w:pPr>
        <w:jc w:val="center"/>
        <w:rPr>
          <w:b/>
        </w:rPr>
      </w:pPr>
    </w:p>
    <w:p w14:paraId="11F44DDD" w14:textId="58E28FD8" w:rsidR="00FB2AD9" w:rsidRPr="00135D77" w:rsidRDefault="005818F2" w:rsidP="002A4AD6">
      <w:r w:rsidRPr="00135D77">
        <w:t>We hope you favourably</w:t>
      </w:r>
      <w:r w:rsidR="00FB2AD9" w:rsidRPr="00135D77">
        <w:t xml:space="preserve"> consider our </w:t>
      </w:r>
      <w:r w:rsidR="001F1E23">
        <w:t>submission</w:t>
      </w:r>
      <w:r w:rsidR="00FB2AD9" w:rsidRPr="00135D77">
        <w:t>.</w:t>
      </w:r>
    </w:p>
    <w:p w14:paraId="645BCFA1" w14:textId="77777777" w:rsidR="005A7033" w:rsidRPr="00135D77" w:rsidRDefault="005A7033" w:rsidP="002A4AD6"/>
    <w:p w14:paraId="3139441B" w14:textId="77777777" w:rsidR="005A7033" w:rsidRPr="00135D77" w:rsidRDefault="005A7033" w:rsidP="002A4AD6">
      <w:r w:rsidRPr="00135D77">
        <w:t>Yours sincerely</w:t>
      </w:r>
      <w:r w:rsidR="00A1670B" w:rsidRPr="00135D77">
        <w:t xml:space="preserve">, </w:t>
      </w:r>
    </w:p>
    <w:p w14:paraId="7CF699DE" w14:textId="77777777" w:rsidR="00A1670B" w:rsidRPr="00135D77" w:rsidRDefault="00A1670B" w:rsidP="002A4AD6"/>
    <w:p w14:paraId="1B79E697" w14:textId="77777777" w:rsidR="00A1670B" w:rsidRPr="00135D77" w:rsidRDefault="00A1670B" w:rsidP="002A4AD6"/>
    <w:p w14:paraId="2E8FFBF5" w14:textId="77777777" w:rsidR="00A1670B" w:rsidRPr="00135D77" w:rsidRDefault="00A1670B" w:rsidP="002A4AD6"/>
    <w:p w14:paraId="64C1BC52" w14:textId="2B5A5CF2" w:rsidR="00A1670B" w:rsidRPr="00135D77" w:rsidRDefault="00295086" w:rsidP="002A4AD6">
      <w:r>
        <w:rPr>
          <w:noProof/>
          <w:lang w:eastAsia="en-IE"/>
        </w:rPr>
        <w:drawing>
          <wp:anchor distT="0" distB="0" distL="114300" distR="114300" simplePos="0" relativeHeight="251659264" behindDoc="1" locked="0" layoutInCell="1" allowOverlap="1" wp14:anchorId="44AC8C27" wp14:editId="2A897EA6">
            <wp:simplePos x="0" y="0"/>
            <wp:positionH relativeFrom="column">
              <wp:posOffset>0</wp:posOffset>
            </wp:positionH>
            <wp:positionV relativeFrom="paragraph">
              <wp:posOffset>0</wp:posOffset>
            </wp:positionV>
            <wp:extent cx="1447800" cy="752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t="10069" r="9633" b="2876"/>
                    <a:stretch>
                      <a:fillRect/>
                    </a:stretch>
                  </pic:blipFill>
                  <pic:spPr bwMode="auto">
                    <a:xfrm>
                      <a:off x="0" y="0"/>
                      <a:ext cx="14478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27937" w14:textId="3362286C" w:rsidR="00A1670B" w:rsidRPr="00135D77" w:rsidRDefault="00A1670B" w:rsidP="002A4AD6"/>
    <w:p w14:paraId="17D1349C" w14:textId="77777777" w:rsidR="00A1670B" w:rsidRPr="00135D77" w:rsidRDefault="00A1670B" w:rsidP="002A4AD6">
      <w:r w:rsidRPr="00135D77">
        <w:t>__________________________</w:t>
      </w:r>
    </w:p>
    <w:p w14:paraId="4FDC0170" w14:textId="77777777" w:rsidR="00A1670B" w:rsidRPr="00135D77" w:rsidRDefault="00A1670B" w:rsidP="002A4AD6">
      <w:bookmarkStart w:id="0" w:name="_GoBack"/>
      <w:bookmarkEnd w:id="0"/>
    </w:p>
    <w:p w14:paraId="46300B71" w14:textId="77777777" w:rsidR="00A1670B" w:rsidRPr="00135D77" w:rsidRDefault="00A1670B" w:rsidP="002A4AD6">
      <w:r w:rsidRPr="00135D77">
        <w:t>Eamon Devoy,</w:t>
      </w:r>
    </w:p>
    <w:p w14:paraId="3C33BB27" w14:textId="77777777" w:rsidR="00511042" w:rsidRPr="00135D77" w:rsidRDefault="00A1670B" w:rsidP="002A4AD6">
      <w:r w:rsidRPr="00135D77">
        <w:t>Independent Chairperson,</w:t>
      </w:r>
      <w:r w:rsidR="00511042" w:rsidRPr="00135D77">
        <w:t xml:space="preserve"> </w:t>
      </w:r>
      <w:r w:rsidRPr="00135D77">
        <w:t>Kilmainham Inchicore Network</w:t>
      </w:r>
      <w:r w:rsidR="00511042" w:rsidRPr="00135D77">
        <w:t xml:space="preserve"> </w:t>
      </w:r>
    </w:p>
    <w:p w14:paraId="3169817A" w14:textId="0589BEE8" w:rsidR="00A1670B" w:rsidRPr="00135D77" w:rsidRDefault="00AD1BCD" w:rsidP="002A4AD6">
      <w:r>
        <w:t xml:space="preserve">(Redacted – Personal Information) </w:t>
      </w:r>
      <w:hyperlink r:id="rId12" w:history="1">
        <w:r w:rsidR="001F1E23" w:rsidRPr="00797C3E">
          <w:rPr>
            <w:rStyle w:val="Hyperlink"/>
          </w:rPr>
          <w:t>www.kilmainham-inchicore.ie</w:t>
        </w:r>
      </w:hyperlink>
      <w:r w:rsidR="001F1E23">
        <w:t xml:space="preserve"> </w:t>
      </w:r>
    </w:p>
    <w:p w14:paraId="37990095" w14:textId="13235BCD" w:rsidR="00A1670B" w:rsidRDefault="00A1670B" w:rsidP="0047158B">
      <w:pPr>
        <w:rPr>
          <w:b/>
        </w:rPr>
      </w:pPr>
    </w:p>
    <w:p w14:paraId="4E857913" w14:textId="7182B12E" w:rsidR="00592158" w:rsidRDefault="00592158" w:rsidP="0047158B">
      <w:pPr>
        <w:rPr>
          <w:b/>
        </w:rPr>
      </w:pPr>
    </w:p>
    <w:p w14:paraId="3DD42567" w14:textId="77777777" w:rsidR="00592158" w:rsidRPr="00135D77" w:rsidRDefault="00592158" w:rsidP="0047158B">
      <w:pPr>
        <w:rPr>
          <w:b/>
        </w:rPr>
      </w:pPr>
    </w:p>
    <w:sectPr w:rsidR="00592158" w:rsidRPr="00135D77" w:rsidSect="00B83ED9">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3198" w14:textId="77777777" w:rsidR="00EF425E" w:rsidRDefault="00EF425E" w:rsidP="00A1670B">
      <w:r>
        <w:separator/>
      </w:r>
    </w:p>
  </w:endnote>
  <w:endnote w:type="continuationSeparator" w:id="0">
    <w:p w14:paraId="1E14B73C" w14:textId="77777777" w:rsidR="00EF425E" w:rsidRDefault="00EF425E" w:rsidP="00A1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54675"/>
      <w:docPartObj>
        <w:docPartGallery w:val="Page Numbers (Bottom of Page)"/>
        <w:docPartUnique/>
      </w:docPartObj>
    </w:sdtPr>
    <w:sdtEndPr>
      <w:rPr>
        <w:color w:val="7F7F7F" w:themeColor="background1" w:themeShade="7F"/>
        <w:spacing w:val="60"/>
      </w:rPr>
    </w:sdtEndPr>
    <w:sdtContent>
      <w:p w14:paraId="001377C5" w14:textId="0A50F280" w:rsidR="00662B18" w:rsidRDefault="00D06B27">
        <w:pPr>
          <w:pStyle w:val="Footer"/>
          <w:pBdr>
            <w:top w:val="single" w:sz="4" w:space="1" w:color="D9D9D9" w:themeColor="background1" w:themeShade="D9"/>
          </w:pBdr>
          <w:rPr>
            <w:b/>
          </w:rPr>
        </w:pPr>
        <w:r>
          <w:fldChar w:fldCharType="begin"/>
        </w:r>
        <w:r>
          <w:instrText xml:space="preserve"> PAGE   \* MERGEFORMAT </w:instrText>
        </w:r>
        <w:r>
          <w:fldChar w:fldCharType="separate"/>
        </w:r>
        <w:r w:rsidR="00AD1BCD" w:rsidRPr="00AD1BCD">
          <w:rPr>
            <w:b/>
            <w:noProof/>
          </w:rPr>
          <w:t>8</w:t>
        </w:r>
        <w:r>
          <w:rPr>
            <w:b/>
            <w:noProof/>
          </w:rPr>
          <w:fldChar w:fldCharType="end"/>
        </w:r>
        <w:r w:rsidR="00662B18">
          <w:rPr>
            <w:b/>
          </w:rPr>
          <w:t xml:space="preserve"> | </w:t>
        </w:r>
        <w:r w:rsidR="00662B18" w:rsidRPr="00971128">
          <w:rPr>
            <w:b/>
            <w:i/>
            <w:sz w:val="20"/>
            <w:szCs w:val="20"/>
          </w:rPr>
          <w:t>Kilmainham Inchicore Network</w:t>
        </w:r>
        <w:r w:rsidR="00662B18" w:rsidRPr="00971128">
          <w:rPr>
            <w:sz w:val="20"/>
            <w:szCs w:val="20"/>
          </w:rPr>
          <w:t xml:space="preserve"> </w:t>
        </w:r>
        <w:r w:rsidR="00B83ED9">
          <w:rPr>
            <w:sz w:val="20"/>
            <w:szCs w:val="20"/>
          </w:rPr>
          <w:t>submission on Dublin City Development Plan 2022-2028</w:t>
        </w:r>
        <w:r w:rsidR="00B83ED9">
          <w:rPr>
            <w:sz w:val="20"/>
            <w:szCs w:val="20"/>
          </w:rPr>
          <w:tab/>
        </w:r>
        <w:r w:rsidR="00B83ED9">
          <w:rPr>
            <w:sz w:val="20"/>
            <w:szCs w:val="20"/>
          </w:rPr>
          <w:tab/>
        </w:r>
        <w:r w:rsidR="00B83ED9">
          <w:rPr>
            <w:sz w:val="20"/>
            <w:szCs w:val="20"/>
          </w:rPr>
          <w:tab/>
        </w:r>
        <w:r w:rsidR="00B83ED9">
          <w:rPr>
            <w:sz w:val="20"/>
            <w:szCs w:val="20"/>
          </w:rPr>
          <w:tab/>
        </w:r>
        <w:r w:rsidR="00B83ED9">
          <w:rPr>
            <w:sz w:val="20"/>
            <w:szCs w:val="20"/>
          </w:rPr>
          <w:tab/>
        </w:r>
        <w:r w:rsidR="00B83ED9">
          <w:rPr>
            <w:sz w:val="20"/>
            <w:szCs w:val="20"/>
          </w:rPr>
          <w:tab/>
        </w:r>
        <w:r w:rsidR="00B83ED9">
          <w:rPr>
            <w:sz w:val="20"/>
            <w:szCs w:val="20"/>
          </w:rPr>
          <w:tab/>
        </w:r>
        <w:r w:rsidR="00B83ED9">
          <w:rPr>
            <w:sz w:val="20"/>
            <w:szCs w:val="20"/>
          </w:rPr>
          <w:tab/>
          <w:t xml:space="preserve"> February 2022</w:t>
        </w:r>
      </w:p>
    </w:sdtContent>
  </w:sdt>
  <w:p w14:paraId="05E6776B" w14:textId="77777777" w:rsidR="00662B18" w:rsidRDefault="00662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8295C" w14:textId="77777777" w:rsidR="00EF425E" w:rsidRDefault="00EF425E" w:rsidP="00A1670B">
      <w:r>
        <w:separator/>
      </w:r>
    </w:p>
  </w:footnote>
  <w:footnote w:type="continuationSeparator" w:id="0">
    <w:p w14:paraId="678876D1" w14:textId="77777777" w:rsidR="00EF425E" w:rsidRDefault="00EF425E" w:rsidP="00A1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3FE7" w14:textId="239E9051" w:rsidR="00B233F1" w:rsidRDefault="00B23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E94"/>
    <w:multiLevelType w:val="hybridMultilevel"/>
    <w:tmpl w:val="1CEE54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3F2100"/>
    <w:multiLevelType w:val="hybridMultilevel"/>
    <w:tmpl w:val="28F6BC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9EF4766"/>
    <w:multiLevelType w:val="hybridMultilevel"/>
    <w:tmpl w:val="28F6BC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C9"/>
    <w:rsid w:val="000138F7"/>
    <w:rsid w:val="00015661"/>
    <w:rsid w:val="000262F8"/>
    <w:rsid w:val="000358DA"/>
    <w:rsid w:val="0004010F"/>
    <w:rsid w:val="00045E71"/>
    <w:rsid w:val="00047A61"/>
    <w:rsid w:val="00056DD9"/>
    <w:rsid w:val="00061748"/>
    <w:rsid w:val="00093F4B"/>
    <w:rsid w:val="000D68AE"/>
    <w:rsid w:val="000F081D"/>
    <w:rsid w:val="000F432B"/>
    <w:rsid w:val="00102688"/>
    <w:rsid w:val="001027DF"/>
    <w:rsid w:val="00135D77"/>
    <w:rsid w:val="00141D9A"/>
    <w:rsid w:val="00144D1D"/>
    <w:rsid w:val="00144FAC"/>
    <w:rsid w:val="00160918"/>
    <w:rsid w:val="00173C28"/>
    <w:rsid w:val="00180F99"/>
    <w:rsid w:val="001A348E"/>
    <w:rsid w:val="001B54DC"/>
    <w:rsid w:val="001C25EC"/>
    <w:rsid w:val="001C4839"/>
    <w:rsid w:val="001D5FB8"/>
    <w:rsid w:val="001E0837"/>
    <w:rsid w:val="001E3604"/>
    <w:rsid w:val="001E52A3"/>
    <w:rsid w:val="001F1E23"/>
    <w:rsid w:val="0020746C"/>
    <w:rsid w:val="0021045D"/>
    <w:rsid w:val="00214C9A"/>
    <w:rsid w:val="0023220C"/>
    <w:rsid w:val="002402A5"/>
    <w:rsid w:val="0026389D"/>
    <w:rsid w:val="002844B8"/>
    <w:rsid w:val="00291947"/>
    <w:rsid w:val="002921DA"/>
    <w:rsid w:val="00295086"/>
    <w:rsid w:val="002A289A"/>
    <w:rsid w:val="002A4AD6"/>
    <w:rsid w:val="002C6017"/>
    <w:rsid w:val="002D2C1C"/>
    <w:rsid w:val="002E5A81"/>
    <w:rsid w:val="002F78D0"/>
    <w:rsid w:val="003052A0"/>
    <w:rsid w:val="00323BB5"/>
    <w:rsid w:val="00323CDE"/>
    <w:rsid w:val="00332D98"/>
    <w:rsid w:val="00334B9D"/>
    <w:rsid w:val="003420C9"/>
    <w:rsid w:val="0034374D"/>
    <w:rsid w:val="00344210"/>
    <w:rsid w:val="00344AAE"/>
    <w:rsid w:val="00370E5A"/>
    <w:rsid w:val="00374166"/>
    <w:rsid w:val="0039555D"/>
    <w:rsid w:val="003B2896"/>
    <w:rsid w:val="0042450A"/>
    <w:rsid w:val="00437DDC"/>
    <w:rsid w:val="00464457"/>
    <w:rsid w:val="0047158B"/>
    <w:rsid w:val="00472591"/>
    <w:rsid w:val="004B02C4"/>
    <w:rsid w:val="004B7E55"/>
    <w:rsid w:val="004E4543"/>
    <w:rsid w:val="00511042"/>
    <w:rsid w:val="00526C22"/>
    <w:rsid w:val="00533E9F"/>
    <w:rsid w:val="00535817"/>
    <w:rsid w:val="0053704B"/>
    <w:rsid w:val="00540B6D"/>
    <w:rsid w:val="005750C8"/>
    <w:rsid w:val="005818F2"/>
    <w:rsid w:val="00592158"/>
    <w:rsid w:val="005A7033"/>
    <w:rsid w:val="005B75BE"/>
    <w:rsid w:val="005C487B"/>
    <w:rsid w:val="005F4BE3"/>
    <w:rsid w:val="005F4D7D"/>
    <w:rsid w:val="005F4FDB"/>
    <w:rsid w:val="005F68CE"/>
    <w:rsid w:val="00603DFD"/>
    <w:rsid w:val="00625B5B"/>
    <w:rsid w:val="00633155"/>
    <w:rsid w:val="00633A5A"/>
    <w:rsid w:val="0065575F"/>
    <w:rsid w:val="00662B18"/>
    <w:rsid w:val="006656BC"/>
    <w:rsid w:val="006B5315"/>
    <w:rsid w:val="006C1612"/>
    <w:rsid w:val="006D4EFA"/>
    <w:rsid w:val="00700D7A"/>
    <w:rsid w:val="00702BFD"/>
    <w:rsid w:val="00704037"/>
    <w:rsid w:val="00716F9C"/>
    <w:rsid w:val="0071738D"/>
    <w:rsid w:val="00717415"/>
    <w:rsid w:val="007440F4"/>
    <w:rsid w:val="0076558F"/>
    <w:rsid w:val="00797EFA"/>
    <w:rsid w:val="007A61B0"/>
    <w:rsid w:val="007E480C"/>
    <w:rsid w:val="008036A0"/>
    <w:rsid w:val="008173D4"/>
    <w:rsid w:val="0083171A"/>
    <w:rsid w:val="008339EF"/>
    <w:rsid w:val="0083482E"/>
    <w:rsid w:val="008511D6"/>
    <w:rsid w:val="00855620"/>
    <w:rsid w:val="00860F4D"/>
    <w:rsid w:val="008645B9"/>
    <w:rsid w:val="00867C1D"/>
    <w:rsid w:val="00874296"/>
    <w:rsid w:val="00877ACC"/>
    <w:rsid w:val="008962AA"/>
    <w:rsid w:val="008A22B2"/>
    <w:rsid w:val="008B1C14"/>
    <w:rsid w:val="008B64E4"/>
    <w:rsid w:val="008C404B"/>
    <w:rsid w:val="008D2731"/>
    <w:rsid w:val="008D640C"/>
    <w:rsid w:val="008E435C"/>
    <w:rsid w:val="008E4846"/>
    <w:rsid w:val="008E4BCA"/>
    <w:rsid w:val="008F7164"/>
    <w:rsid w:val="009277BB"/>
    <w:rsid w:val="009530F6"/>
    <w:rsid w:val="0096775F"/>
    <w:rsid w:val="00971128"/>
    <w:rsid w:val="00996082"/>
    <w:rsid w:val="009C684A"/>
    <w:rsid w:val="009E1FD6"/>
    <w:rsid w:val="009F7DBD"/>
    <w:rsid w:val="00A11D8A"/>
    <w:rsid w:val="00A1670B"/>
    <w:rsid w:val="00A343EB"/>
    <w:rsid w:val="00A536A8"/>
    <w:rsid w:val="00A54CC0"/>
    <w:rsid w:val="00A56926"/>
    <w:rsid w:val="00A67825"/>
    <w:rsid w:val="00A73B50"/>
    <w:rsid w:val="00A74C7A"/>
    <w:rsid w:val="00A93B2C"/>
    <w:rsid w:val="00A97722"/>
    <w:rsid w:val="00AA217D"/>
    <w:rsid w:val="00AA28C3"/>
    <w:rsid w:val="00AA3F65"/>
    <w:rsid w:val="00AA42BF"/>
    <w:rsid w:val="00AA7F11"/>
    <w:rsid w:val="00AB6ECC"/>
    <w:rsid w:val="00AD1BCD"/>
    <w:rsid w:val="00AE4D38"/>
    <w:rsid w:val="00AF072A"/>
    <w:rsid w:val="00B233F1"/>
    <w:rsid w:val="00B36723"/>
    <w:rsid w:val="00B54CBE"/>
    <w:rsid w:val="00B56286"/>
    <w:rsid w:val="00B634B9"/>
    <w:rsid w:val="00B83ED9"/>
    <w:rsid w:val="00B85BF8"/>
    <w:rsid w:val="00B938C8"/>
    <w:rsid w:val="00BC1E05"/>
    <w:rsid w:val="00BC5D87"/>
    <w:rsid w:val="00BD256A"/>
    <w:rsid w:val="00BD3125"/>
    <w:rsid w:val="00BD449E"/>
    <w:rsid w:val="00BD6998"/>
    <w:rsid w:val="00BE2AF3"/>
    <w:rsid w:val="00C561A1"/>
    <w:rsid w:val="00C66674"/>
    <w:rsid w:val="00C71DC3"/>
    <w:rsid w:val="00C81DBF"/>
    <w:rsid w:val="00CD738D"/>
    <w:rsid w:val="00D03E67"/>
    <w:rsid w:val="00D06B27"/>
    <w:rsid w:val="00D17762"/>
    <w:rsid w:val="00D41B96"/>
    <w:rsid w:val="00D41BFF"/>
    <w:rsid w:val="00D63B74"/>
    <w:rsid w:val="00DD2D62"/>
    <w:rsid w:val="00DE7862"/>
    <w:rsid w:val="00E15267"/>
    <w:rsid w:val="00E331CE"/>
    <w:rsid w:val="00E36846"/>
    <w:rsid w:val="00E36D55"/>
    <w:rsid w:val="00E53D37"/>
    <w:rsid w:val="00E6654E"/>
    <w:rsid w:val="00E7039D"/>
    <w:rsid w:val="00E80D5E"/>
    <w:rsid w:val="00E82DC5"/>
    <w:rsid w:val="00E95377"/>
    <w:rsid w:val="00EA4687"/>
    <w:rsid w:val="00EC2972"/>
    <w:rsid w:val="00EC68C6"/>
    <w:rsid w:val="00ED7B99"/>
    <w:rsid w:val="00EE6C10"/>
    <w:rsid w:val="00EE72F5"/>
    <w:rsid w:val="00EF425E"/>
    <w:rsid w:val="00EF7063"/>
    <w:rsid w:val="00F01004"/>
    <w:rsid w:val="00F11D8E"/>
    <w:rsid w:val="00F54912"/>
    <w:rsid w:val="00F55F2F"/>
    <w:rsid w:val="00F67A31"/>
    <w:rsid w:val="00F90704"/>
    <w:rsid w:val="00FB2AD9"/>
    <w:rsid w:val="00FC4F3E"/>
    <w:rsid w:val="00FE02FD"/>
    <w:rsid w:val="00FE728C"/>
    <w:rsid w:val="00FF14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F25EC2"/>
  <w15:docId w15:val="{61FCCC3B-172B-464F-BC07-91754650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670B"/>
    <w:rPr>
      <w:color w:val="0000FF"/>
      <w:u w:val="single"/>
    </w:rPr>
  </w:style>
  <w:style w:type="paragraph" w:styleId="NormalWeb">
    <w:name w:val="Normal (Web)"/>
    <w:basedOn w:val="Normal"/>
    <w:uiPriority w:val="99"/>
    <w:unhideWhenUsed/>
    <w:rsid w:val="00A1670B"/>
    <w:rPr>
      <w:rFonts w:eastAsia="Calibri"/>
      <w:lang w:val="en-US" w:eastAsia="en-US"/>
    </w:rPr>
  </w:style>
  <w:style w:type="table" w:styleId="TableGrid">
    <w:name w:val="Table Grid"/>
    <w:basedOn w:val="TableNormal"/>
    <w:uiPriority w:val="39"/>
    <w:rsid w:val="00A1670B"/>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1670B"/>
    <w:rPr>
      <w:rFonts w:ascii="Calibri" w:eastAsia="Calibri" w:hAnsi="Calibri"/>
      <w:lang w:val="en-US" w:eastAsia="en-US"/>
    </w:rPr>
  </w:style>
  <w:style w:type="character" w:customStyle="1" w:styleId="FootnoteTextChar">
    <w:name w:val="Footnote Text Char"/>
    <w:basedOn w:val="DefaultParagraphFont"/>
    <w:link w:val="FootnoteText"/>
    <w:uiPriority w:val="99"/>
    <w:rsid w:val="00A1670B"/>
    <w:rPr>
      <w:rFonts w:ascii="Calibri" w:eastAsia="Calibri" w:hAnsi="Calibri" w:cs="Times New Roman"/>
      <w:sz w:val="24"/>
      <w:szCs w:val="24"/>
      <w:lang w:val="en-US" w:eastAsia="en-US"/>
    </w:rPr>
  </w:style>
  <w:style w:type="character" w:styleId="FootnoteReference">
    <w:name w:val="footnote reference"/>
    <w:basedOn w:val="DefaultParagraphFont"/>
    <w:uiPriority w:val="99"/>
    <w:unhideWhenUsed/>
    <w:rsid w:val="00A1670B"/>
    <w:rPr>
      <w:vertAlign w:val="superscript"/>
    </w:rPr>
  </w:style>
  <w:style w:type="paragraph" w:styleId="BalloonText">
    <w:name w:val="Balloon Text"/>
    <w:basedOn w:val="Normal"/>
    <w:link w:val="BalloonTextChar"/>
    <w:rsid w:val="00A1670B"/>
    <w:rPr>
      <w:rFonts w:ascii="Tahoma" w:hAnsi="Tahoma" w:cs="Tahoma"/>
      <w:sz w:val="16"/>
      <w:szCs w:val="16"/>
    </w:rPr>
  </w:style>
  <w:style w:type="character" w:customStyle="1" w:styleId="BalloonTextChar">
    <w:name w:val="Balloon Text Char"/>
    <w:basedOn w:val="DefaultParagraphFont"/>
    <w:link w:val="BalloonText"/>
    <w:rsid w:val="00A1670B"/>
    <w:rPr>
      <w:rFonts w:ascii="Tahoma" w:hAnsi="Tahoma" w:cs="Tahoma"/>
      <w:sz w:val="16"/>
      <w:szCs w:val="16"/>
      <w:lang w:eastAsia="en-GB"/>
    </w:rPr>
  </w:style>
  <w:style w:type="paragraph" w:styleId="Header">
    <w:name w:val="header"/>
    <w:basedOn w:val="Normal"/>
    <w:link w:val="HeaderChar"/>
    <w:rsid w:val="00323BB5"/>
    <w:pPr>
      <w:tabs>
        <w:tab w:val="center" w:pos="4513"/>
        <w:tab w:val="right" w:pos="9026"/>
      </w:tabs>
    </w:pPr>
  </w:style>
  <w:style w:type="character" w:customStyle="1" w:styleId="HeaderChar">
    <w:name w:val="Header Char"/>
    <w:basedOn w:val="DefaultParagraphFont"/>
    <w:link w:val="Header"/>
    <w:rsid w:val="00323BB5"/>
    <w:rPr>
      <w:sz w:val="24"/>
      <w:szCs w:val="24"/>
      <w:lang w:eastAsia="en-GB"/>
    </w:rPr>
  </w:style>
  <w:style w:type="paragraph" w:styleId="Footer">
    <w:name w:val="footer"/>
    <w:basedOn w:val="Normal"/>
    <w:link w:val="FooterChar"/>
    <w:uiPriority w:val="99"/>
    <w:rsid w:val="00323BB5"/>
    <w:pPr>
      <w:tabs>
        <w:tab w:val="center" w:pos="4513"/>
        <w:tab w:val="right" w:pos="9026"/>
      </w:tabs>
    </w:pPr>
  </w:style>
  <w:style w:type="character" w:customStyle="1" w:styleId="FooterChar">
    <w:name w:val="Footer Char"/>
    <w:basedOn w:val="DefaultParagraphFont"/>
    <w:link w:val="Footer"/>
    <w:uiPriority w:val="99"/>
    <w:rsid w:val="00323BB5"/>
    <w:rPr>
      <w:sz w:val="24"/>
      <w:szCs w:val="24"/>
      <w:lang w:eastAsia="en-GB"/>
    </w:rPr>
  </w:style>
  <w:style w:type="paragraph" w:styleId="ListParagraph">
    <w:name w:val="List Paragraph"/>
    <w:basedOn w:val="Normal"/>
    <w:uiPriority w:val="34"/>
    <w:qFormat/>
    <w:rsid w:val="00EC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417">
      <w:bodyDiv w:val="1"/>
      <w:marLeft w:val="0"/>
      <w:marRight w:val="0"/>
      <w:marTop w:val="0"/>
      <w:marBottom w:val="0"/>
      <w:divBdr>
        <w:top w:val="none" w:sz="0" w:space="0" w:color="auto"/>
        <w:left w:val="none" w:sz="0" w:space="0" w:color="auto"/>
        <w:bottom w:val="none" w:sz="0" w:space="0" w:color="auto"/>
        <w:right w:val="none" w:sz="0" w:space="0" w:color="auto"/>
      </w:divBdr>
    </w:div>
    <w:div w:id="474883017">
      <w:bodyDiv w:val="1"/>
      <w:marLeft w:val="0"/>
      <w:marRight w:val="0"/>
      <w:marTop w:val="0"/>
      <w:marBottom w:val="0"/>
      <w:divBdr>
        <w:top w:val="none" w:sz="0" w:space="0" w:color="auto"/>
        <w:left w:val="none" w:sz="0" w:space="0" w:color="auto"/>
        <w:bottom w:val="none" w:sz="0" w:space="0" w:color="auto"/>
        <w:right w:val="none" w:sz="0" w:space="0" w:color="auto"/>
      </w:divBdr>
    </w:div>
    <w:div w:id="720521556">
      <w:bodyDiv w:val="1"/>
      <w:marLeft w:val="0"/>
      <w:marRight w:val="0"/>
      <w:marTop w:val="0"/>
      <w:marBottom w:val="0"/>
      <w:divBdr>
        <w:top w:val="none" w:sz="0" w:space="0" w:color="auto"/>
        <w:left w:val="none" w:sz="0" w:space="0" w:color="auto"/>
        <w:bottom w:val="none" w:sz="0" w:space="0" w:color="auto"/>
        <w:right w:val="none" w:sz="0" w:space="0" w:color="auto"/>
      </w:divBdr>
    </w:div>
    <w:div w:id="801195967">
      <w:bodyDiv w:val="1"/>
      <w:marLeft w:val="0"/>
      <w:marRight w:val="0"/>
      <w:marTop w:val="0"/>
      <w:marBottom w:val="0"/>
      <w:divBdr>
        <w:top w:val="none" w:sz="0" w:space="0" w:color="auto"/>
        <w:left w:val="none" w:sz="0" w:space="0" w:color="auto"/>
        <w:bottom w:val="none" w:sz="0" w:space="0" w:color="auto"/>
        <w:right w:val="none" w:sz="0" w:space="0" w:color="auto"/>
      </w:divBdr>
    </w:div>
    <w:div w:id="1013458505">
      <w:bodyDiv w:val="1"/>
      <w:marLeft w:val="0"/>
      <w:marRight w:val="0"/>
      <w:marTop w:val="0"/>
      <w:marBottom w:val="0"/>
      <w:divBdr>
        <w:top w:val="none" w:sz="0" w:space="0" w:color="auto"/>
        <w:left w:val="none" w:sz="0" w:space="0" w:color="auto"/>
        <w:bottom w:val="none" w:sz="0" w:space="0" w:color="auto"/>
        <w:right w:val="none" w:sz="0" w:space="0" w:color="auto"/>
      </w:divBdr>
    </w:div>
    <w:div w:id="1064371330">
      <w:bodyDiv w:val="1"/>
      <w:marLeft w:val="0"/>
      <w:marRight w:val="0"/>
      <w:marTop w:val="0"/>
      <w:marBottom w:val="0"/>
      <w:divBdr>
        <w:top w:val="none" w:sz="0" w:space="0" w:color="auto"/>
        <w:left w:val="none" w:sz="0" w:space="0" w:color="auto"/>
        <w:bottom w:val="none" w:sz="0" w:space="0" w:color="auto"/>
        <w:right w:val="none" w:sz="0" w:space="0" w:color="auto"/>
      </w:divBdr>
    </w:div>
    <w:div w:id="1940872429">
      <w:bodyDiv w:val="1"/>
      <w:marLeft w:val="0"/>
      <w:marRight w:val="0"/>
      <w:marTop w:val="0"/>
      <w:marBottom w:val="0"/>
      <w:divBdr>
        <w:top w:val="none" w:sz="0" w:space="0" w:color="auto"/>
        <w:left w:val="none" w:sz="0" w:space="0" w:color="auto"/>
        <w:bottom w:val="none" w:sz="0" w:space="0" w:color="auto"/>
        <w:right w:val="none" w:sz="0" w:space="0" w:color="auto"/>
      </w:divBdr>
    </w:div>
    <w:div w:id="1998487155">
      <w:bodyDiv w:val="1"/>
      <w:marLeft w:val="0"/>
      <w:marRight w:val="0"/>
      <w:marTop w:val="0"/>
      <w:marBottom w:val="0"/>
      <w:divBdr>
        <w:top w:val="none" w:sz="0" w:space="0" w:color="auto"/>
        <w:left w:val="none" w:sz="0" w:space="0" w:color="auto"/>
        <w:bottom w:val="none" w:sz="0" w:space="0" w:color="auto"/>
        <w:right w:val="none" w:sz="0" w:space="0" w:color="auto"/>
      </w:divBdr>
    </w:div>
    <w:div w:id="20925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lmainham-inchicore.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hrec.ie/app/uploads/2019/03/IHREC_Public_Sector_Duty_Final_Eng_WEB.pdf" TargetMode="External"/><Relationship Id="rId4" Type="http://schemas.openxmlformats.org/officeDocument/2006/relationships/settings" Target="settings.xml"/><Relationship Id="rId9" Type="http://schemas.openxmlformats.org/officeDocument/2006/relationships/hyperlink" Target="http://www.kilmainham-inchicore.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ADC03-E07E-489D-A1B4-9AFCDF93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3819</Words>
  <Characters>20858</Characters>
  <Application>Microsoft Office Word</Application>
  <DocSecurity>4</DocSecurity>
  <Lines>173</Lines>
  <Paragraphs>49</Paragraphs>
  <ScaleCrop>false</ScaleCrop>
  <HeadingPairs>
    <vt:vector size="2" baseType="variant">
      <vt:variant>
        <vt:lpstr>Title</vt:lpstr>
      </vt:variant>
      <vt:variant>
        <vt:i4>1</vt:i4>
      </vt:variant>
    </vt:vector>
  </HeadingPairs>
  <TitlesOfParts>
    <vt:vector size="1" baseType="lpstr">
      <vt:lpstr>Bulfin Estate Residents Association</vt:lpstr>
    </vt:vector>
  </TitlesOfParts>
  <Company>DCC</Company>
  <LinksUpToDate>false</LinksUpToDate>
  <CharactersWithSpaces>24628</CharactersWithSpaces>
  <SharedDoc>false</SharedDoc>
  <HLinks>
    <vt:vector size="18" baseType="variant">
      <vt:variant>
        <vt:i4>262216</vt:i4>
      </vt:variant>
      <vt:variant>
        <vt:i4>6</vt:i4>
      </vt:variant>
      <vt:variant>
        <vt:i4>0</vt:i4>
      </vt:variant>
      <vt:variant>
        <vt:i4>5</vt:i4>
      </vt:variant>
      <vt:variant>
        <vt:lpwstr>http://www.buildingsofireland.ie/</vt:lpwstr>
      </vt:variant>
      <vt:variant>
        <vt:lpwstr/>
      </vt:variant>
      <vt:variant>
        <vt:i4>4259866</vt:i4>
      </vt:variant>
      <vt:variant>
        <vt:i4>3</vt:i4>
      </vt:variant>
      <vt:variant>
        <vt:i4>0</vt:i4>
      </vt:variant>
      <vt:variant>
        <vt:i4>5</vt:i4>
      </vt:variant>
      <vt:variant>
        <vt:lpwstr>https://www.archaeology.ie/licences/ministerial-consent-national-monuments/</vt:lpwstr>
      </vt:variant>
      <vt:variant>
        <vt:lpwstr>d.en.13181</vt:lpwstr>
      </vt:variant>
      <vt:variant>
        <vt:i4>2097163</vt:i4>
      </vt:variant>
      <vt:variant>
        <vt:i4>0</vt:i4>
      </vt:variant>
      <vt:variant>
        <vt:i4>0</vt:i4>
      </vt:variant>
      <vt:variant>
        <vt:i4>5</vt:i4>
      </vt:variant>
      <vt:variant>
        <vt:lpwstr>mailto:eamondevoy@etos.ie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Bulfin Estate Residents Association</dc:title>
  <dc:creator>aoife</dc:creator>
  <cp:lastModifiedBy>Sharon Beatty</cp:lastModifiedBy>
  <cp:revision>2</cp:revision>
  <cp:lastPrinted>2019-04-26T14:27:00Z</cp:lastPrinted>
  <dcterms:created xsi:type="dcterms:W3CDTF">2022-03-05T08:52:00Z</dcterms:created>
  <dcterms:modified xsi:type="dcterms:W3CDTF">2022-03-05T08:52:00Z</dcterms:modified>
</cp:coreProperties>
</file>