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1A5D" w14:textId="321D0137" w:rsidR="00921A59" w:rsidRDefault="00921A59" w:rsidP="00921A59">
      <w:pPr>
        <w:pStyle w:val="Heading1"/>
        <w:jc w:val="center"/>
        <w:rPr>
          <w:rFonts w:eastAsiaTheme="minorEastAsia"/>
        </w:rPr>
      </w:pPr>
      <w:bookmarkStart w:id="0" w:name="_Toc66366224"/>
      <w:bookmarkStart w:id="1" w:name="_Toc66370730"/>
      <w:bookmarkStart w:id="2" w:name="_Toc63974248"/>
      <w:bookmarkStart w:id="3" w:name="_Toc63974371"/>
      <w:bookmarkStart w:id="4" w:name="_Toc64621244"/>
      <w:bookmarkStart w:id="5" w:name="_Toc64628167"/>
      <w:bookmarkStart w:id="6" w:name="_Toc66285340"/>
      <w:bookmarkStart w:id="7" w:name="_Toc66806891"/>
      <w:r w:rsidRPr="003157CE">
        <w:rPr>
          <w:rFonts w:eastAsiaTheme="minorEastAsia"/>
        </w:rPr>
        <w:t>S</w:t>
      </w:r>
      <w:r>
        <w:rPr>
          <w:rFonts w:eastAsiaTheme="minorEastAsia"/>
        </w:rPr>
        <w:t xml:space="preserve">TRATEGIC </w:t>
      </w:r>
      <w:r w:rsidRPr="003157CE">
        <w:rPr>
          <w:rFonts w:eastAsiaTheme="minorEastAsia"/>
        </w:rPr>
        <w:t>E</w:t>
      </w:r>
      <w:r>
        <w:rPr>
          <w:rFonts w:eastAsiaTheme="minorEastAsia"/>
        </w:rPr>
        <w:t xml:space="preserve">NVIRONMENTAL </w:t>
      </w:r>
      <w:r w:rsidRPr="003157CE">
        <w:rPr>
          <w:rFonts w:eastAsiaTheme="minorEastAsia"/>
        </w:rPr>
        <w:t>A</w:t>
      </w:r>
      <w:r>
        <w:rPr>
          <w:rFonts w:eastAsiaTheme="minorEastAsia"/>
        </w:rPr>
        <w:t>SSESSMENT</w:t>
      </w:r>
      <w:bookmarkEnd w:id="0"/>
      <w:bookmarkEnd w:id="1"/>
      <w:bookmarkEnd w:id="7"/>
    </w:p>
    <w:p w14:paraId="058CDDE0" w14:textId="54613C41" w:rsidR="1B348B48" w:rsidRPr="003157CE" w:rsidRDefault="00921A59" w:rsidP="001E3652">
      <w:pPr>
        <w:pStyle w:val="Heading1"/>
        <w:jc w:val="center"/>
        <w:rPr>
          <w:rFonts w:eastAsiaTheme="minorEastAsia"/>
        </w:rPr>
      </w:pPr>
      <w:r w:rsidRPr="003157CE">
        <w:rPr>
          <w:rFonts w:eastAsiaTheme="minorEastAsia"/>
        </w:rPr>
        <w:t xml:space="preserve"> </w:t>
      </w:r>
      <w:bookmarkStart w:id="8" w:name="_Toc66366225"/>
      <w:bookmarkStart w:id="9" w:name="_Toc66370731"/>
      <w:bookmarkStart w:id="10" w:name="_Toc66806892"/>
      <w:r w:rsidRPr="003157CE">
        <w:rPr>
          <w:rFonts w:eastAsiaTheme="minorEastAsia"/>
        </w:rPr>
        <w:t>SCREENING REPORT</w:t>
      </w:r>
      <w:bookmarkEnd w:id="2"/>
      <w:bookmarkEnd w:id="3"/>
      <w:bookmarkEnd w:id="4"/>
      <w:bookmarkEnd w:id="5"/>
      <w:bookmarkEnd w:id="6"/>
      <w:bookmarkEnd w:id="8"/>
      <w:bookmarkEnd w:id="9"/>
      <w:bookmarkEnd w:id="10"/>
    </w:p>
    <w:p w14:paraId="0FAF9ECE" w14:textId="77777777" w:rsidR="00921A59" w:rsidRDefault="00921A59" w:rsidP="00921A59">
      <w:pPr>
        <w:pStyle w:val="Subtitle"/>
        <w:jc w:val="center"/>
        <w:rPr>
          <w:sz w:val="36"/>
          <w:szCs w:val="36"/>
        </w:rPr>
      </w:pPr>
    </w:p>
    <w:p w14:paraId="7BE39242" w14:textId="5BC78113" w:rsidR="00921A59" w:rsidRPr="00F6194F" w:rsidRDefault="00921A59" w:rsidP="00921A59">
      <w:pPr>
        <w:pStyle w:val="Subtitle"/>
        <w:jc w:val="center"/>
        <w:rPr>
          <w:sz w:val="36"/>
          <w:szCs w:val="36"/>
        </w:rPr>
      </w:pPr>
      <w:r w:rsidRPr="00F6194F">
        <w:rPr>
          <w:sz w:val="36"/>
          <w:szCs w:val="36"/>
        </w:rPr>
        <w:t>Proposed Variation no. 33</w:t>
      </w:r>
    </w:p>
    <w:p w14:paraId="646EF8F7" w14:textId="77777777" w:rsidR="00921A59" w:rsidRDefault="00921A59" w:rsidP="00921A59">
      <w:pPr>
        <w:pStyle w:val="Subtitle"/>
        <w:jc w:val="center"/>
      </w:pPr>
      <w:r>
        <w:t>Dublin city development plan 2016-2022</w:t>
      </w:r>
    </w:p>
    <w:p w14:paraId="30572ACB" w14:textId="456C7311" w:rsidR="00921A59" w:rsidRDefault="00921A59" w:rsidP="00A32B77">
      <w:pPr>
        <w:jc w:val="center"/>
        <w:rPr>
          <w:b/>
          <w:smallCaps/>
        </w:rPr>
      </w:pPr>
    </w:p>
    <w:p w14:paraId="36F30673" w14:textId="44DB68FA" w:rsidR="00452CF9" w:rsidRPr="00A32B77" w:rsidRDefault="1BEDD6AC" w:rsidP="00A32B77">
      <w:pPr>
        <w:jc w:val="center"/>
        <w:rPr>
          <w:b/>
          <w:smallCaps/>
        </w:rPr>
      </w:pPr>
      <w:r w:rsidRPr="00A32B77">
        <w:rPr>
          <w:b/>
          <w:smallCaps/>
        </w:rPr>
        <w:t>PLANNING AND DEVELOPMENT ACTS 2000 (As amended)</w:t>
      </w:r>
    </w:p>
    <w:p w14:paraId="517089AD" w14:textId="11C350ED" w:rsidR="00475A79" w:rsidRPr="00A32B77" w:rsidRDefault="00475A79" w:rsidP="00A32B77">
      <w:pPr>
        <w:jc w:val="center"/>
        <w:rPr>
          <w:b/>
        </w:rPr>
      </w:pPr>
    </w:p>
    <w:p w14:paraId="6AAC880F" w14:textId="3D4E96F0" w:rsidR="00452CF9" w:rsidRPr="00A32B77" w:rsidRDefault="1BEDD6AC" w:rsidP="00A32B77">
      <w:pPr>
        <w:jc w:val="center"/>
        <w:rPr>
          <w:b/>
        </w:rPr>
      </w:pPr>
      <w:r w:rsidRPr="00A32B77">
        <w:rPr>
          <w:b/>
        </w:rPr>
        <w:t>PLANNING AND DEVELOPMENT (STRATEGIC ENVIRONMENTAL ASSESSMENT) REGULATIONS</w:t>
      </w:r>
    </w:p>
    <w:p w14:paraId="3BBA3629" w14:textId="77CB53C1" w:rsidR="00452CF9" w:rsidRPr="00A32B77" w:rsidRDefault="1BEDD6AC" w:rsidP="00A32B77">
      <w:pPr>
        <w:jc w:val="center"/>
        <w:rPr>
          <w:b/>
        </w:rPr>
      </w:pPr>
      <w:r w:rsidRPr="00A32B77">
        <w:rPr>
          <w:b/>
        </w:rPr>
        <w:t>2004-2011</w:t>
      </w:r>
    </w:p>
    <w:p w14:paraId="0374540F" w14:textId="08BA3037" w:rsidR="00475A79" w:rsidRPr="00A32B77" w:rsidRDefault="00475A79" w:rsidP="00A32B77">
      <w:pPr>
        <w:jc w:val="center"/>
        <w:rPr>
          <w:b/>
        </w:rPr>
      </w:pPr>
    </w:p>
    <w:p w14:paraId="484EBD0B" w14:textId="5E5F377A" w:rsidR="003157CE" w:rsidRPr="00A32B77" w:rsidRDefault="1BEDD6AC" w:rsidP="00A32B77">
      <w:pPr>
        <w:jc w:val="center"/>
        <w:rPr>
          <w:b/>
        </w:rPr>
      </w:pPr>
      <w:r w:rsidRPr="00A32B77">
        <w:rPr>
          <w:b/>
        </w:rPr>
        <w:t>DUBLIN CITY COUNCIL DEVELOPMENT PLAN 2016-2022</w:t>
      </w:r>
    </w:p>
    <w:p w14:paraId="05E01F7C" w14:textId="77777777" w:rsidR="00475A79" w:rsidRPr="003157CE" w:rsidRDefault="00475A79" w:rsidP="001E3652"/>
    <w:p w14:paraId="641700A0" w14:textId="1BB23D58" w:rsidR="00475A79" w:rsidRPr="003157CE" w:rsidRDefault="001E3652" w:rsidP="001E3652">
      <w:r w:rsidRPr="00A32B77">
        <w:rPr>
          <w:b/>
          <w:sz w:val="22"/>
          <w:szCs w:val="22"/>
        </w:rPr>
        <w:t>PROPOSED VARIATION No. 33 – Changes to the Land Use Zoning</w:t>
      </w:r>
      <w:r w:rsidR="008B5E4C">
        <w:rPr>
          <w:b/>
          <w:sz w:val="22"/>
          <w:szCs w:val="22"/>
        </w:rPr>
        <w:t xml:space="preserve"> of lands at Jamestown Road, St Margaret’s Road, </w:t>
      </w:r>
      <w:r w:rsidRPr="00A32B77">
        <w:rPr>
          <w:b/>
          <w:sz w:val="22"/>
          <w:szCs w:val="22"/>
        </w:rPr>
        <w:t xml:space="preserve">McKee Avenue, </w:t>
      </w:r>
      <w:proofErr w:type="spellStart"/>
      <w:r w:rsidRPr="00A32B77">
        <w:rPr>
          <w:b/>
          <w:sz w:val="22"/>
          <w:szCs w:val="22"/>
        </w:rPr>
        <w:t>Finglas</w:t>
      </w:r>
      <w:proofErr w:type="spellEnd"/>
      <w:r w:rsidRPr="00A32B77">
        <w:rPr>
          <w:b/>
          <w:sz w:val="22"/>
          <w:szCs w:val="22"/>
        </w:rPr>
        <w:t xml:space="preserve">, Dublin 11, from Land Use Zoning Objective Z6 to Land Use Zoning Objective Z14 </w:t>
      </w:r>
      <w:r w:rsidR="008B5E4C">
        <w:rPr>
          <w:b/>
          <w:sz w:val="22"/>
          <w:szCs w:val="22"/>
        </w:rPr>
        <w:t>and</w:t>
      </w:r>
      <w:r w:rsidRPr="00A32B77">
        <w:rPr>
          <w:b/>
          <w:sz w:val="22"/>
          <w:szCs w:val="22"/>
        </w:rPr>
        <w:t xml:space="preserve"> the designation of</w:t>
      </w:r>
      <w:r w:rsidR="008B5E4C">
        <w:rPr>
          <w:b/>
          <w:sz w:val="22"/>
          <w:szCs w:val="22"/>
        </w:rPr>
        <w:t xml:space="preserve"> the lands as</w:t>
      </w:r>
      <w:r w:rsidRPr="00A32B77">
        <w:rPr>
          <w:b/>
          <w:sz w:val="22"/>
          <w:szCs w:val="22"/>
        </w:rPr>
        <w:t xml:space="preserve"> a new Strategic Development and Regeneration Area (SDRA</w:t>
      </w:r>
      <w:r w:rsidR="00F47BD8">
        <w:rPr>
          <w:b/>
          <w:sz w:val="22"/>
          <w:szCs w:val="22"/>
        </w:rPr>
        <w:t>)</w:t>
      </w:r>
      <w:r w:rsidR="008B5E4C">
        <w:rPr>
          <w:rFonts w:ascii="Calibri" w:hAnsi="Calibri" w:cs="Calibri"/>
          <w:b/>
          <w:sz w:val="22"/>
          <w:szCs w:val="22"/>
        </w:rPr>
        <w:t>.</w:t>
      </w:r>
      <w:r w:rsidR="00BD2055" w:rsidRPr="003157CE">
        <w:t xml:space="preserve"> </w:t>
      </w:r>
    </w:p>
    <w:p w14:paraId="7EC13335" w14:textId="77777777" w:rsidR="00BD2055" w:rsidRDefault="00BD2055" w:rsidP="001E3652">
      <w:pPr>
        <w:rPr>
          <w:u w:val="single"/>
        </w:rPr>
      </w:pPr>
    </w:p>
    <w:p w14:paraId="6F0CA853" w14:textId="1F1B8B71" w:rsidR="00452CF9" w:rsidRPr="00A32B77" w:rsidRDefault="1BEDD6AC" w:rsidP="001E3652">
      <w:pPr>
        <w:rPr>
          <w:u w:val="single"/>
        </w:rPr>
      </w:pPr>
      <w:r w:rsidRPr="00A32B77">
        <w:rPr>
          <w:u w:val="single"/>
        </w:rPr>
        <w:t>REPORT PURSUANT TO ARTICLE 13K PLANNING AND DEVELOPMENT (STRATEGIC ENVIRONMENTAL ASSESSMENT) REGULATIONS 2004-2011</w:t>
      </w:r>
    </w:p>
    <w:p w14:paraId="3641542C" w14:textId="0346F334" w:rsidR="00475A79" w:rsidRDefault="00475A79" w:rsidP="001E3652"/>
    <w:p w14:paraId="53ECD5DA" w14:textId="77777777" w:rsidR="00475A79" w:rsidRPr="003157CE" w:rsidRDefault="00475A79" w:rsidP="001E3652"/>
    <w:p w14:paraId="01EE1CAD" w14:textId="1788B428" w:rsidR="003157CE" w:rsidRPr="003157CE" w:rsidRDefault="1BEDD6AC" w:rsidP="001E3652">
      <w:r w:rsidRPr="003157CE">
        <w:t>DETERMINATION OF THE NEED FOR ENVIRONMENTAL ASSESSMENT OF A VARIATION OF THE DUBLIN CITY DEVELOPMENT PLAN IN TERMS OF THE PROVISIONS OF ARTICLE 13K OF THE PLANNING AND DEVELOPMENT (STRATEGIC ENVIRONMENTAL ASSESSMENT) REGULATIONS 2004-2011</w:t>
      </w:r>
    </w:p>
    <w:sdt>
      <w:sdtPr>
        <w:rPr>
          <w:rFonts w:asciiTheme="minorHAnsi" w:eastAsiaTheme="minorEastAsia" w:hAnsiTheme="minorHAnsi" w:cstheme="minorBidi"/>
          <w:color w:val="auto"/>
          <w:sz w:val="21"/>
          <w:szCs w:val="21"/>
        </w:rPr>
        <w:id w:val="1608858143"/>
        <w:docPartObj>
          <w:docPartGallery w:val="Table of Contents"/>
          <w:docPartUnique/>
        </w:docPartObj>
      </w:sdtPr>
      <w:sdtEndPr>
        <w:rPr>
          <w:b/>
          <w:bCs/>
          <w:noProof/>
        </w:rPr>
      </w:sdtEndPr>
      <w:sdtContent>
        <w:p w14:paraId="3FBC4504" w14:textId="422D00FC" w:rsidR="006431E5" w:rsidRDefault="006431E5">
          <w:pPr>
            <w:pStyle w:val="TOCHeading"/>
          </w:pPr>
          <w:r>
            <w:t>Contents</w:t>
          </w:r>
        </w:p>
        <w:p w14:paraId="307D83CE" w14:textId="3A0527E7" w:rsidR="00641837" w:rsidRDefault="006431E5">
          <w:pPr>
            <w:pStyle w:val="TOC1"/>
            <w:tabs>
              <w:tab w:val="right" w:leader="dot" w:pos="9350"/>
            </w:tabs>
            <w:rPr>
              <w:noProof/>
              <w:sz w:val="22"/>
              <w:szCs w:val="22"/>
              <w:lang w:val="en-IE" w:eastAsia="en-IE"/>
            </w:rPr>
          </w:pPr>
          <w:r>
            <w:fldChar w:fldCharType="begin"/>
          </w:r>
          <w:r>
            <w:instrText xml:space="preserve"> TOC \o "1-3" \h \z \u </w:instrText>
          </w:r>
          <w:r>
            <w:fldChar w:fldCharType="separate"/>
          </w:r>
          <w:hyperlink w:anchor="_Toc66806893" w:history="1">
            <w:r w:rsidR="00641837" w:rsidRPr="00670F08">
              <w:rPr>
                <w:rStyle w:val="Hyperlink"/>
                <w:rFonts w:cstheme="minorHAnsi"/>
                <w:noProof/>
              </w:rPr>
              <w:t>1.0 Purpose of Report</w:t>
            </w:r>
            <w:r w:rsidR="00641837">
              <w:rPr>
                <w:noProof/>
                <w:webHidden/>
              </w:rPr>
              <w:tab/>
            </w:r>
            <w:r w:rsidR="00641837">
              <w:rPr>
                <w:noProof/>
                <w:webHidden/>
              </w:rPr>
              <w:fldChar w:fldCharType="begin"/>
            </w:r>
            <w:r w:rsidR="00641837">
              <w:rPr>
                <w:noProof/>
                <w:webHidden/>
              </w:rPr>
              <w:instrText xml:space="preserve"> PAGEREF _Toc66806893 \h </w:instrText>
            </w:r>
            <w:r w:rsidR="00641837">
              <w:rPr>
                <w:noProof/>
                <w:webHidden/>
              </w:rPr>
            </w:r>
            <w:r w:rsidR="00641837">
              <w:rPr>
                <w:noProof/>
                <w:webHidden/>
              </w:rPr>
              <w:fldChar w:fldCharType="separate"/>
            </w:r>
            <w:r w:rsidR="00641837">
              <w:rPr>
                <w:noProof/>
                <w:webHidden/>
              </w:rPr>
              <w:t>2</w:t>
            </w:r>
            <w:r w:rsidR="00641837">
              <w:rPr>
                <w:noProof/>
                <w:webHidden/>
              </w:rPr>
              <w:fldChar w:fldCharType="end"/>
            </w:r>
          </w:hyperlink>
        </w:p>
        <w:p w14:paraId="5A364615" w14:textId="15BEB529" w:rsidR="00641837" w:rsidRDefault="00641837">
          <w:pPr>
            <w:pStyle w:val="TOC1"/>
            <w:tabs>
              <w:tab w:val="right" w:leader="dot" w:pos="9350"/>
            </w:tabs>
            <w:rPr>
              <w:noProof/>
              <w:sz w:val="22"/>
              <w:szCs w:val="22"/>
              <w:lang w:val="en-IE" w:eastAsia="en-IE"/>
            </w:rPr>
          </w:pPr>
          <w:hyperlink w:anchor="_Toc66806894" w:history="1">
            <w:r w:rsidRPr="00670F08">
              <w:rPr>
                <w:rStyle w:val="Hyperlink"/>
                <w:rFonts w:cstheme="minorHAnsi"/>
                <w:noProof/>
              </w:rPr>
              <w:t>2.0 Proposed Variation</w:t>
            </w:r>
            <w:r>
              <w:rPr>
                <w:noProof/>
                <w:webHidden/>
              </w:rPr>
              <w:tab/>
            </w:r>
            <w:r>
              <w:rPr>
                <w:noProof/>
                <w:webHidden/>
              </w:rPr>
              <w:fldChar w:fldCharType="begin"/>
            </w:r>
            <w:r>
              <w:rPr>
                <w:noProof/>
                <w:webHidden/>
              </w:rPr>
              <w:instrText xml:space="preserve"> PAGEREF _Toc66806894 \h </w:instrText>
            </w:r>
            <w:r>
              <w:rPr>
                <w:noProof/>
                <w:webHidden/>
              </w:rPr>
            </w:r>
            <w:r>
              <w:rPr>
                <w:noProof/>
                <w:webHidden/>
              </w:rPr>
              <w:fldChar w:fldCharType="separate"/>
            </w:r>
            <w:r>
              <w:rPr>
                <w:noProof/>
                <w:webHidden/>
              </w:rPr>
              <w:t>2</w:t>
            </w:r>
            <w:r>
              <w:rPr>
                <w:noProof/>
                <w:webHidden/>
              </w:rPr>
              <w:fldChar w:fldCharType="end"/>
            </w:r>
          </w:hyperlink>
        </w:p>
        <w:p w14:paraId="6F2B8212" w14:textId="41B15055" w:rsidR="00641837" w:rsidRDefault="00641837">
          <w:pPr>
            <w:pStyle w:val="TOC1"/>
            <w:tabs>
              <w:tab w:val="right" w:leader="dot" w:pos="9350"/>
            </w:tabs>
            <w:rPr>
              <w:noProof/>
              <w:sz w:val="22"/>
              <w:szCs w:val="22"/>
              <w:lang w:val="en-IE" w:eastAsia="en-IE"/>
            </w:rPr>
          </w:pPr>
          <w:hyperlink w:anchor="_Toc66806895" w:history="1">
            <w:r w:rsidRPr="00670F08">
              <w:rPr>
                <w:rStyle w:val="Hyperlink"/>
                <w:rFonts w:cstheme="minorHAnsi"/>
                <w:noProof/>
              </w:rPr>
              <w:t>3.0 Context for Variation Lands</w:t>
            </w:r>
            <w:r>
              <w:rPr>
                <w:noProof/>
                <w:webHidden/>
              </w:rPr>
              <w:tab/>
            </w:r>
            <w:r>
              <w:rPr>
                <w:noProof/>
                <w:webHidden/>
              </w:rPr>
              <w:fldChar w:fldCharType="begin"/>
            </w:r>
            <w:r>
              <w:rPr>
                <w:noProof/>
                <w:webHidden/>
              </w:rPr>
              <w:instrText xml:space="preserve"> PAGEREF _Toc66806895 \h </w:instrText>
            </w:r>
            <w:r>
              <w:rPr>
                <w:noProof/>
                <w:webHidden/>
              </w:rPr>
            </w:r>
            <w:r>
              <w:rPr>
                <w:noProof/>
                <w:webHidden/>
              </w:rPr>
              <w:fldChar w:fldCharType="separate"/>
            </w:r>
            <w:r>
              <w:rPr>
                <w:noProof/>
                <w:webHidden/>
              </w:rPr>
              <w:t>4</w:t>
            </w:r>
            <w:r>
              <w:rPr>
                <w:noProof/>
                <w:webHidden/>
              </w:rPr>
              <w:fldChar w:fldCharType="end"/>
            </w:r>
          </w:hyperlink>
        </w:p>
        <w:p w14:paraId="7329E2B3" w14:textId="29C97E78" w:rsidR="00641837" w:rsidRDefault="00641837">
          <w:pPr>
            <w:pStyle w:val="TOC1"/>
            <w:tabs>
              <w:tab w:val="right" w:leader="dot" w:pos="9350"/>
            </w:tabs>
            <w:rPr>
              <w:noProof/>
              <w:sz w:val="22"/>
              <w:szCs w:val="22"/>
              <w:lang w:val="en-IE" w:eastAsia="en-IE"/>
            </w:rPr>
          </w:pPr>
          <w:hyperlink w:anchor="_Toc66806896" w:history="1">
            <w:r w:rsidRPr="00670F08">
              <w:rPr>
                <w:rStyle w:val="Hyperlink"/>
                <w:rFonts w:cstheme="minorHAnsi"/>
                <w:noProof/>
              </w:rPr>
              <w:t>4.0 Purpose of the Proposed Variation</w:t>
            </w:r>
            <w:r>
              <w:rPr>
                <w:noProof/>
                <w:webHidden/>
              </w:rPr>
              <w:tab/>
            </w:r>
            <w:r>
              <w:rPr>
                <w:noProof/>
                <w:webHidden/>
              </w:rPr>
              <w:fldChar w:fldCharType="begin"/>
            </w:r>
            <w:r>
              <w:rPr>
                <w:noProof/>
                <w:webHidden/>
              </w:rPr>
              <w:instrText xml:space="preserve"> PAGEREF _Toc66806896 \h </w:instrText>
            </w:r>
            <w:r>
              <w:rPr>
                <w:noProof/>
                <w:webHidden/>
              </w:rPr>
            </w:r>
            <w:r>
              <w:rPr>
                <w:noProof/>
                <w:webHidden/>
              </w:rPr>
              <w:fldChar w:fldCharType="separate"/>
            </w:r>
            <w:r>
              <w:rPr>
                <w:noProof/>
                <w:webHidden/>
              </w:rPr>
              <w:t>5</w:t>
            </w:r>
            <w:r>
              <w:rPr>
                <w:noProof/>
                <w:webHidden/>
              </w:rPr>
              <w:fldChar w:fldCharType="end"/>
            </w:r>
          </w:hyperlink>
        </w:p>
        <w:p w14:paraId="28EAD81A" w14:textId="7DF3146C" w:rsidR="00641837" w:rsidRDefault="00641837">
          <w:pPr>
            <w:pStyle w:val="TOC2"/>
            <w:tabs>
              <w:tab w:val="right" w:leader="dot" w:pos="9350"/>
            </w:tabs>
            <w:rPr>
              <w:noProof/>
              <w:sz w:val="22"/>
              <w:szCs w:val="22"/>
              <w:lang w:val="en-IE" w:eastAsia="en-IE"/>
            </w:rPr>
          </w:pPr>
          <w:hyperlink w:anchor="_Toc66806897" w:history="1">
            <w:r w:rsidRPr="00670F08">
              <w:rPr>
                <w:rStyle w:val="Hyperlink"/>
                <w:noProof/>
              </w:rPr>
              <w:t>4.1 Policy Context</w:t>
            </w:r>
            <w:r>
              <w:rPr>
                <w:noProof/>
                <w:webHidden/>
              </w:rPr>
              <w:tab/>
            </w:r>
            <w:r>
              <w:rPr>
                <w:noProof/>
                <w:webHidden/>
              </w:rPr>
              <w:fldChar w:fldCharType="begin"/>
            </w:r>
            <w:r>
              <w:rPr>
                <w:noProof/>
                <w:webHidden/>
              </w:rPr>
              <w:instrText xml:space="preserve"> PAGEREF _Toc66806897 \h </w:instrText>
            </w:r>
            <w:r>
              <w:rPr>
                <w:noProof/>
                <w:webHidden/>
              </w:rPr>
            </w:r>
            <w:r>
              <w:rPr>
                <w:noProof/>
                <w:webHidden/>
              </w:rPr>
              <w:fldChar w:fldCharType="separate"/>
            </w:r>
            <w:r>
              <w:rPr>
                <w:noProof/>
                <w:webHidden/>
              </w:rPr>
              <w:t>5</w:t>
            </w:r>
            <w:r>
              <w:rPr>
                <w:noProof/>
                <w:webHidden/>
              </w:rPr>
              <w:fldChar w:fldCharType="end"/>
            </w:r>
          </w:hyperlink>
        </w:p>
        <w:p w14:paraId="547126A6" w14:textId="1D146FA9" w:rsidR="00641837" w:rsidRDefault="00641837">
          <w:pPr>
            <w:pStyle w:val="TOC2"/>
            <w:tabs>
              <w:tab w:val="right" w:leader="dot" w:pos="9350"/>
            </w:tabs>
            <w:rPr>
              <w:noProof/>
              <w:sz w:val="22"/>
              <w:szCs w:val="22"/>
              <w:lang w:val="en-IE" w:eastAsia="en-IE"/>
            </w:rPr>
          </w:pPr>
          <w:hyperlink w:anchor="_Toc66806898" w:history="1">
            <w:r w:rsidRPr="00670F08">
              <w:rPr>
                <w:rStyle w:val="Hyperlink"/>
                <w:noProof/>
              </w:rPr>
              <w:t>4.2 Background</w:t>
            </w:r>
            <w:r>
              <w:rPr>
                <w:noProof/>
                <w:webHidden/>
              </w:rPr>
              <w:tab/>
            </w:r>
            <w:r>
              <w:rPr>
                <w:noProof/>
                <w:webHidden/>
              </w:rPr>
              <w:fldChar w:fldCharType="begin"/>
            </w:r>
            <w:r>
              <w:rPr>
                <w:noProof/>
                <w:webHidden/>
              </w:rPr>
              <w:instrText xml:space="preserve"> PAGEREF _Toc66806898 \h </w:instrText>
            </w:r>
            <w:r>
              <w:rPr>
                <w:noProof/>
                <w:webHidden/>
              </w:rPr>
            </w:r>
            <w:r>
              <w:rPr>
                <w:noProof/>
                <w:webHidden/>
              </w:rPr>
              <w:fldChar w:fldCharType="separate"/>
            </w:r>
            <w:r>
              <w:rPr>
                <w:noProof/>
                <w:webHidden/>
              </w:rPr>
              <w:t>5</w:t>
            </w:r>
            <w:r>
              <w:rPr>
                <w:noProof/>
                <w:webHidden/>
              </w:rPr>
              <w:fldChar w:fldCharType="end"/>
            </w:r>
          </w:hyperlink>
        </w:p>
        <w:p w14:paraId="13E499E8" w14:textId="23C25ACB" w:rsidR="00641837" w:rsidRDefault="00641837">
          <w:pPr>
            <w:pStyle w:val="TOC1"/>
            <w:tabs>
              <w:tab w:val="right" w:leader="dot" w:pos="9350"/>
            </w:tabs>
            <w:rPr>
              <w:noProof/>
              <w:sz w:val="22"/>
              <w:szCs w:val="22"/>
              <w:lang w:val="en-IE" w:eastAsia="en-IE"/>
            </w:rPr>
          </w:pPr>
          <w:hyperlink w:anchor="_Toc66806899" w:history="1">
            <w:r w:rsidRPr="00670F08">
              <w:rPr>
                <w:rStyle w:val="Hyperlink"/>
                <w:rFonts w:cstheme="minorHAnsi"/>
                <w:noProof/>
              </w:rPr>
              <w:t>5.0 Requirements</w:t>
            </w:r>
            <w:r>
              <w:rPr>
                <w:noProof/>
                <w:webHidden/>
              </w:rPr>
              <w:tab/>
            </w:r>
            <w:r>
              <w:rPr>
                <w:noProof/>
                <w:webHidden/>
              </w:rPr>
              <w:fldChar w:fldCharType="begin"/>
            </w:r>
            <w:r>
              <w:rPr>
                <w:noProof/>
                <w:webHidden/>
              </w:rPr>
              <w:instrText xml:space="preserve"> PAGEREF _Toc66806899 \h </w:instrText>
            </w:r>
            <w:r>
              <w:rPr>
                <w:noProof/>
                <w:webHidden/>
              </w:rPr>
            </w:r>
            <w:r>
              <w:rPr>
                <w:noProof/>
                <w:webHidden/>
              </w:rPr>
              <w:fldChar w:fldCharType="separate"/>
            </w:r>
            <w:r>
              <w:rPr>
                <w:noProof/>
                <w:webHidden/>
              </w:rPr>
              <w:t>8</w:t>
            </w:r>
            <w:r>
              <w:rPr>
                <w:noProof/>
                <w:webHidden/>
              </w:rPr>
              <w:fldChar w:fldCharType="end"/>
            </w:r>
          </w:hyperlink>
        </w:p>
        <w:p w14:paraId="43F10677" w14:textId="30D4F972" w:rsidR="00641837" w:rsidRDefault="00641837">
          <w:pPr>
            <w:pStyle w:val="TOC1"/>
            <w:tabs>
              <w:tab w:val="right" w:leader="dot" w:pos="9350"/>
            </w:tabs>
            <w:rPr>
              <w:noProof/>
              <w:sz w:val="22"/>
              <w:szCs w:val="22"/>
              <w:lang w:val="en-IE" w:eastAsia="en-IE"/>
            </w:rPr>
          </w:pPr>
          <w:hyperlink w:anchor="_Toc66806900" w:history="1">
            <w:r w:rsidRPr="00670F08">
              <w:rPr>
                <w:rStyle w:val="Hyperlink"/>
                <w:rFonts w:cstheme="minorHAnsi"/>
                <w:noProof/>
              </w:rPr>
              <w:t>6.0 Consultation</w:t>
            </w:r>
            <w:r>
              <w:rPr>
                <w:noProof/>
                <w:webHidden/>
              </w:rPr>
              <w:tab/>
            </w:r>
            <w:r>
              <w:rPr>
                <w:noProof/>
                <w:webHidden/>
              </w:rPr>
              <w:fldChar w:fldCharType="begin"/>
            </w:r>
            <w:r>
              <w:rPr>
                <w:noProof/>
                <w:webHidden/>
              </w:rPr>
              <w:instrText xml:space="preserve"> PAGEREF _Toc66806900 \h </w:instrText>
            </w:r>
            <w:r>
              <w:rPr>
                <w:noProof/>
                <w:webHidden/>
              </w:rPr>
            </w:r>
            <w:r>
              <w:rPr>
                <w:noProof/>
                <w:webHidden/>
              </w:rPr>
              <w:fldChar w:fldCharType="separate"/>
            </w:r>
            <w:r>
              <w:rPr>
                <w:noProof/>
                <w:webHidden/>
              </w:rPr>
              <w:t>15</w:t>
            </w:r>
            <w:r>
              <w:rPr>
                <w:noProof/>
                <w:webHidden/>
              </w:rPr>
              <w:fldChar w:fldCharType="end"/>
            </w:r>
          </w:hyperlink>
        </w:p>
        <w:p w14:paraId="1091CB04" w14:textId="48C1AF19" w:rsidR="00641837" w:rsidRDefault="00641837">
          <w:pPr>
            <w:pStyle w:val="TOC1"/>
            <w:tabs>
              <w:tab w:val="right" w:leader="dot" w:pos="9350"/>
            </w:tabs>
            <w:rPr>
              <w:noProof/>
              <w:sz w:val="22"/>
              <w:szCs w:val="22"/>
              <w:lang w:val="en-IE" w:eastAsia="en-IE"/>
            </w:rPr>
          </w:pPr>
          <w:hyperlink w:anchor="_Toc66806901" w:history="1">
            <w:r w:rsidRPr="00670F08">
              <w:rPr>
                <w:rStyle w:val="Hyperlink"/>
                <w:rFonts w:cstheme="minorHAnsi"/>
                <w:noProof/>
              </w:rPr>
              <w:t>7.0 Determination</w:t>
            </w:r>
            <w:r>
              <w:rPr>
                <w:noProof/>
                <w:webHidden/>
              </w:rPr>
              <w:tab/>
            </w:r>
            <w:r>
              <w:rPr>
                <w:noProof/>
                <w:webHidden/>
              </w:rPr>
              <w:fldChar w:fldCharType="begin"/>
            </w:r>
            <w:r>
              <w:rPr>
                <w:noProof/>
                <w:webHidden/>
              </w:rPr>
              <w:instrText xml:space="preserve"> PAGEREF _Toc66806901 \h </w:instrText>
            </w:r>
            <w:r>
              <w:rPr>
                <w:noProof/>
                <w:webHidden/>
              </w:rPr>
            </w:r>
            <w:r>
              <w:rPr>
                <w:noProof/>
                <w:webHidden/>
              </w:rPr>
              <w:fldChar w:fldCharType="separate"/>
            </w:r>
            <w:r>
              <w:rPr>
                <w:noProof/>
                <w:webHidden/>
              </w:rPr>
              <w:t>17</w:t>
            </w:r>
            <w:r>
              <w:rPr>
                <w:noProof/>
                <w:webHidden/>
              </w:rPr>
              <w:fldChar w:fldCharType="end"/>
            </w:r>
          </w:hyperlink>
        </w:p>
        <w:p w14:paraId="34B07BFA" w14:textId="54A735D1" w:rsidR="006431E5" w:rsidRDefault="006431E5">
          <w:r>
            <w:rPr>
              <w:b/>
              <w:bCs/>
              <w:noProof/>
            </w:rPr>
            <w:fldChar w:fldCharType="end"/>
          </w:r>
        </w:p>
      </w:sdtContent>
    </w:sdt>
    <w:p w14:paraId="3144B21B" w14:textId="32C27E26" w:rsidR="00007255" w:rsidRPr="00007255" w:rsidRDefault="00007255" w:rsidP="001E3652"/>
    <w:p w14:paraId="231FB10F" w14:textId="77777777" w:rsidR="00007255" w:rsidRDefault="00007255" w:rsidP="001E3652">
      <w:pPr>
        <w:rPr>
          <w:rFonts w:asciiTheme="majorHAnsi" w:hAnsiTheme="majorHAnsi" w:cstheme="majorBidi"/>
          <w:color w:val="262626" w:themeColor="text1" w:themeTint="D9"/>
        </w:rPr>
      </w:pPr>
      <w:r>
        <w:br w:type="page"/>
      </w:r>
    </w:p>
    <w:p w14:paraId="18BE2D0B" w14:textId="6A6E437B" w:rsidR="4253028D" w:rsidRPr="006431E5" w:rsidRDefault="4253028D" w:rsidP="001E3652">
      <w:pPr>
        <w:pStyle w:val="Heading1"/>
        <w:rPr>
          <w:rFonts w:asciiTheme="minorHAnsi" w:eastAsiaTheme="minorEastAsia" w:hAnsiTheme="minorHAnsi" w:cstheme="minorHAnsi"/>
          <w:sz w:val="22"/>
          <w:szCs w:val="22"/>
        </w:rPr>
      </w:pPr>
      <w:bookmarkStart w:id="11" w:name="_Toc66806893"/>
      <w:r w:rsidRPr="006431E5">
        <w:rPr>
          <w:rFonts w:asciiTheme="minorHAnsi" w:eastAsiaTheme="minorEastAsia" w:hAnsiTheme="minorHAnsi" w:cstheme="minorHAnsi"/>
          <w:sz w:val="22"/>
          <w:szCs w:val="22"/>
        </w:rPr>
        <w:lastRenderedPageBreak/>
        <w:t>1.</w:t>
      </w:r>
      <w:r w:rsidR="1BD753BF" w:rsidRPr="006431E5">
        <w:rPr>
          <w:rFonts w:asciiTheme="minorHAnsi" w:eastAsiaTheme="minorEastAsia" w:hAnsiTheme="minorHAnsi" w:cstheme="minorHAnsi"/>
          <w:sz w:val="22"/>
          <w:szCs w:val="22"/>
        </w:rPr>
        <w:t>0</w:t>
      </w:r>
      <w:r w:rsidRPr="006431E5">
        <w:rPr>
          <w:rFonts w:asciiTheme="minorHAnsi" w:eastAsiaTheme="minorEastAsia" w:hAnsiTheme="minorHAnsi" w:cstheme="minorHAnsi"/>
          <w:sz w:val="22"/>
          <w:szCs w:val="22"/>
        </w:rPr>
        <w:t xml:space="preserve"> </w:t>
      </w:r>
      <w:r w:rsidR="0B705645" w:rsidRPr="006431E5">
        <w:rPr>
          <w:rFonts w:asciiTheme="minorHAnsi" w:eastAsiaTheme="minorEastAsia" w:hAnsiTheme="minorHAnsi" w:cstheme="minorHAnsi"/>
          <w:sz w:val="22"/>
          <w:szCs w:val="22"/>
        </w:rPr>
        <w:t>Purpose of Report</w:t>
      </w:r>
      <w:bookmarkEnd w:id="11"/>
    </w:p>
    <w:p w14:paraId="34F769CF" w14:textId="5FBECCB0" w:rsidR="2DE1FF75" w:rsidRPr="006431E5" w:rsidRDefault="2DE1FF75" w:rsidP="00197AA5">
      <w:r w:rsidRPr="006431E5">
        <w:t xml:space="preserve">Dublin City Council (the Planning Authority) intends to initiate the procedures for making </w:t>
      </w:r>
      <w:r w:rsidR="17D7F5A0" w:rsidRPr="006431E5">
        <w:t>a</w:t>
      </w:r>
      <w:r w:rsidRPr="006431E5">
        <w:t xml:space="preserve"> variation of the Dublin City Development Plan 2016-2022 under Section 13 of the Planning and Development Act 2000 (as amended) (the Act).  The purpose of th</w:t>
      </w:r>
      <w:r w:rsidR="5C31248E" w:rsidRPr="006431E5">
        <w:t>is</w:t>
      </w:r>
      <w:r w:rsidRPr="006431E5">
        <w:t xml:space="preserve"> report is to determine, in accordance with the provisions of Article 13K of the Planning and Development (SEA) Regulations 2011, whether or not the proposed Variation requires a Strategic Environmental Assessment</w:t>
      </w:r>
      <w:r w:rsidR="35B0C912" w:rsidRPr="006431E5">
        <w:t>,</w:t>
      </w:r>
      <w:r w:rsidRPr="006431E5">
        <w:t xml:space="preserve"> taking into account </w:t>
      </w:r>
      <w:r w:rsidR="780337C8" w:rsidRPr="006431E5">
        <w:t xml:space="preserve">the </w:t>
      </w:r>
      <w:r w:rsidRPr="006431E5">
        <w:t xml:space="preserve">relevant criteria set out in Schedule 2A of the Regulations. </w:t>
      </w:r>
    </w:p>
    <w:p w14:paraId="64ED32E8" w14:textId="54E510B2" w:rsidR="512BF84B" w:rsidRPr="006431E5" w:rsidRDefault="512BF84B" w:rsidP="001E3652">
      <w:pPr>
        <w:pStyle w:val="Heading1"/>
        <w:rPr>
          <w:rFonts w:asciiTheme="minorHAnsi" w:eastAsiaTheme="minorEastAsia" w:hAnsiTheme="minorHAnsi" w:cstheme="minorHAnsi"/>
          <w:sz w:val="22"/>
          <w:szCs w:val="22"/>
        </w:rPr>
      </w:pPr>
      <w:bookmarkStart w:id="12" w:name="_Toc66806894"/>
      <w:r w:rsidRPr="006431E5">
        <w:rPr>
          <w:rFonts w:asciiTheme="minorHAnsi" w:eastAsiaTheme="minorEastAsia" w:hAnsiTheme="minorHAnsi" w:cstheme="minorHAnsi"/>
          <w:sz w:val="22"/>
          <w:szCs w:val="22"/>
        </w:rPr>
        <w:t xml:space="preserve">2.0 </w:t>
      </w:r>
      <w:r w:rsidR="0B705645" w:rsidRPr="006431E5">
        <w:rPr>
          <w:rFonts w:asciiTheme="minorHAnsi" w:eastAsiaTheme="minorEastAsia" w:hAnsiTheme="minorHAnsi" w:cstheme="minorHAnsi"/>
          <w:sz w:val="22"/>
          <w:szCs w:val="22"/>
        </w:rPr>
        <w:t>Proposed Variation</w:t>
      </w:r>
      <w:bookmarkEnd w:id="12"/>
    </w:p>
    <w:p w14:paraId="1A17C22C" w14:textId="77777777" w:rsidR="005A61BD" w:rsidRDefault="005A61BD" w:rsidP="005A61BD">
      <w:pPr>
        <w:rPr>
          <w:rFonts w:cstheme="minorHAnsi"/>
          <w:lang w:val="en-US"/>
        </w:rPr>
      </w:pPr>
      <w:r w:rsidRPr="0010767F">
        <w:rPr>
          <w:rFonts w:cstheme="minorHAnsi"/>
          <w:lang w:val="en-US"/>
        </w:rPr>
        <w:t xml:space="preserve">It is proposed to make </w:t>
      </w:r>
      <w:r>
        <w:rPr>
          <w:rFonts w:cstheme="minorHAnsi"/>
          <w:lang w:val="en-US"/>
        </w:rPr>
        <w:t>a V</w:t>
      </w:r>
      <w:r w:rsidRPr="0010767F">
        <w:rPr>
          <w:rFonts w:cstheme="minorHAnsi"/>
          <w:lang w:val="en-US"/>
        </w:rPr>
        <w:t xml:space="preserve">ariation to the Dublin City Development Plan 2016 – 2022 by </w:t>
      </w:r>
      <w:r w:rsidRPr="0010767F">
        <w:rPr>
          <w:rFonts w:cstheme="minorHAnsi"/>
          <w:b/>
          <w:lang w:val="en-US"/>
        </w:rPr>
        <w:t>changing</w:t>
      </w:r>
      <w:r w:rsidRPr="0010767F">
        <w:rPr>
          <w:rFonts w:cstheme="minorHAnsi"/>
          <w:lang w:val="en-US"/>
        </w:rPr>
        <w:t xml:space="preserve"> the </w:t>
      </w:r>
      <w:r w:rsidRPr="0010767F">
        <w:rPr>
          <w:rFonts w:cstheme="minorHAnsi"/>
          <w:b/>
          <w:lang w:val="en-US"/>
        </w:rPr>
        <w:t>Land Use Zoning</w:t>
      </w:r>
      <w:r w:rsidRPr="0010767F">
        <w:rPr>
          <w:rFonts w:cstheme="minorHAnsi"/>
          <w:lang w:val="en-US"/>
        </w:rPr>
        <w:t xml:space="preserve"> Objective of a c. 43.11-hectare land bank situated between Jamestown Road and St Margaret's Road / McKee Avenue, Finglas</w:t>
      </w:r>
      <w:r>
        <w:rPr>
          <w:rFonts w:cstheme="minorHAnsi"/>
          <w:lang w:val="en-US"/>
        </w:rPr>
        <w:t>, Dublin 11,</w:t>
      </w:r>
      <w:r w:rsidRPr="0010767F">
        <w:rPr>
          <w:rFonts w:cstheme="minorHAnsi"/>
          <w:lang w:val="en-US"/>
        </w:rPr>
        <w:t xml:space="preserve"> </w:t>
      </w:r>
    </w:p>
    <w:p w14:paraId="1C80CB62" w14:textId="77777777" w:rsidR="005A61BD" w:rsidRDefault="005A61BD" w:rsidP="005A61BD">
      <w:pPr>
        <w:ind w:left="720"/>
        <w:rPr>
          <w:rFonts w:cstheme="minorHAnsi"/>
          <w:lang w:val="en-US"/>
        </w:rPr>
      </w:pPr>
      <w:r w:rsidRPr="0010767F">
        <w:rPr>
          <w:rFonts w:cstheme="minorHAnsi"/>
          <w:b/>
          <w:lang w:val="en-US"/>
        </w:rPr>
        <w:t>from</w:t>
      </w:r>
      <w:r w:rsidRPr="0010767F">
        <w:rPr>
          <w:rFonts w:cstheme="minorHAnsi"/>
          <w:lang w:val="en-US"/>
        </w:rPr>
        <w:t xml:space="preserve"> Land Use Zoning Objective</w:t>
      </w:r>
      <w:r w:rsidRPr="0010767F">
        <w:rPr>
          <w:rFonts w:cstheme="minorHAnsi"/>
          <w:b/>
          <w:lang w:val="en-US"/>
        </w:rPr>
        <w:t xml:space="preserve"> Z6</w:t>
      </w:r>
      <w:r w:rsidRPr="0010767F">
        <w:rPr>
          <w:rFonts w:cstheme="minorHAnsi"/>
          <w:lang w:val="en-US"/>
        </w:rPr>
        <w:t xml:space="preserve"> (Employment / Enterprise) “To provide for the creation and protection of enterprise and facilitate opportunities for employment creation” </w:t>
      </w:r>
    </w:p>
    <w:p w14:paraId="14072753" w14:textId="77777777" w:rsidR="005A61BD" w:rsidRPr="0010767F" w:rsidRDefault="005A61BD" w:rsidP="005A61BD">
      <w:pPr>
        <w:ind w:left="720"/>
        <w:rPr>
          <w:rFonts w:cstheme="minorHAnsi"/>
          <w:b/>
          <w:bCs/>
          <w:lang w:val="en-US"/>
        </w:rPr>
      </w:pPr>
      <w:r w:rsidRPr="0010767F">
        <w:rPr>
          <w:rFonts w:cstheme="minorHAnsi"/>
          <w:b/>
          <w:lang w:val="en-US"/>
        </w:rPr>
        <w:t>to</w:t>
      </w:r>
      <w:r w:rsidRPr="0010767F">
        <w:rPr>
          <w:rFonts w:cstheme="minorHAnsi"/>
          <w:lang w:val="en-US"/>
        </w:rPr>
        <w:t xml:space="preserve"> </w:t>
      </w:r>
      <w:r w:rsidRPr="0010767F">
        <w:rPr>
          <w:rFonts w:cstheme="minorHAnsi"/>
          <w:bCs/>
          <w:lang w:val="en-US"/>
        </w:rPr>
        <w:t xml:space="preserve">Land Use Zoning Objective </w:t>
      </w:r>
      <w:r w:rsidRPr="0010767F">
        <w:rPr>
          <w:rFonts w:cstheme="minorHAnsi"/>
          <w:b/>
          <w:bCs/>
          <w:lang w:val="en-US"/>
        </w:rPr>
        <w:t>Z14</w:t>
      </w:r>
      <w:r w:rsidRPr="0010767F">
        <w:rPr>
          <w:rFonts w:cstheme="minorHAnsi"/>
          <w:bCs/>
          <w:lang w:val="en-US"/>
        </w:rPr>
        <w:t xml:space="preserve"> (Strategic Development and Regeneration Areas): “‘To seek the social, economic and physical development and/or rejuvenation of an area with mixed-use, of which residential and ‘Z6’ would be the predominant uses”.</w:t>
      </w:r>
    </w:p>
    <w:p w14:paraId="717C61E2" w14:textId="77777777" w:rsidR="005A61BD" w:rsidRDefault="005A61BD" w:rsidP="005A61BD">
      <w:pPr>
        <w:rPr>
          <w:rFonts w:cstheme="minorHAnsi"/>
          <w:lang w:val="en-US"/>
        </w:rPr>
      </w:pPr>
      <w:r w:rsidRPr="0010767F">
        <w:rPr>
          <w:rFonts w:cstheme="minorHAnsi"/>
          <w:lang w:val="en-US"/>
        </w:rPr>
        <w:t>It is als</w:t>
      </w:r>
      <w:r>
        <w:rPr>
          <w:rFonts w:cstheme="minorHAnsi"/>
          <w:lang w:val="en-US"/>
        </w:rPr>
        <w:t>o proposed to designate the lands</w:t>
      </w:r>
      <w:r w:rsidRPr="0010767F">
        <w:rPr>
          <w:rFonts w:cstheme="minorHAnsi"/>
          <w:lang w:val="en-US"/>
        </w:rPr>
        <w:t xml:space="preserve"> a </w:t>
      </w:r>
      <w:r w:rsidRPr="0010767F">
        <w:rPr>
          <w:rFonts w:cstheme="minorHAnsi"/>
          <w:b/>
          <w:bCs/>
          <w:lang w:val="en-US"/>
        </w:rPr>
        <w:t>Strategic Development and Regeneration Area (SDRA)</w:t>
      </w:r>
      <w:r>
        <w:rPr>
          <w:rFonts w:cstheme="minorHAnsi"/>
          <w:lang w:val="en-US"/>
        </w:rPr>
        <w:t xml:space="preserve">. </w:t>
      </w:r>
    </w:p>
    <w:p w14:paraId="4BC406EC" w14:textId="77777777" w:rsidR="005A61BD" w:rsidRPr="00455C50" w:rsidRDefault="005A61BD" w:rsidP="005A61BD">
      <w:pPr>
        <w:rPr>
          <w:rFonts w:cstheme="minorHAnsi"/>
          <w:sz w:val="22"/>
          <w:szCs w:val="22"/>
          <w:lang w:val="en-US"/>
        </w:rPr>
      </w:pPr>
      <w:r w:rsidRPr="00455C50">
        <w:rPr>
          <w:rFonts w:cstheme="minorHAnsi"/>
          <w:sz w:val="22"/>
          <w:szCs w:val="22"/>
          <w:lang w:val="en-US"/>
        </w:rPr>
        <w:t>The proposed changes to the Dublin City Development Plan 2016-2022 are as follows:</w:t>
      </w:r>
    </w:p>
    <w:p w14:paraId="3A4A7443" w14:textId="77777777" w:rsidR="005A61BD" w:rsidRPr="00455C50" w:rsidRDefault="005A61BD" w:rsidP="005A61BD">
      <w:pPr>
        <w:pStyle w:val="ListParagraph"/>
        <w:numPr>
          <w:ilvl w:val="0"/>
          <w:numId w:val="15"/>
        </w:numPr>
        <w:rPr>
          <w:rFonts w:cstheme="minorHAnsi"/>
          <w:sz w:val="22"/>
          <w:szCs w:val="22"/>
          <w:lang w:val="en-US"/>
        </w:rPr>
      </w:pPr>
      <w:r w:rsidRPr="00455C50">
        <w:rPr>
          <w:rFonts w:cstheme="minorHAnsi"/>
          <w:sz w:val="22"/>
          <w:szCs w:val="22"/>
          <w:lang w:val="en-US"/>
        </w:rPr>
        <w:t xml:space="preserve">Land Use Zoning Map Change (Map A) to </w:t>
      </w:r>
      <w:r w:rsidRPr="00455C50">
        <w:rPr>
          <w:rFonts w:cstheme="minorHAnsi"/>
          <w:b/>
          <w:sz w:val="22"/>
          <w:szCs w:val="22"/>
          <w:lang w:val="en-US"/>
        </w:rPr>
        <w:t>Z14 (Strategic Development and Regeneration Areas)</w:t>
      </w:r>
      <w:r w:rsidRPr="00455C50">
        <w:rPr>
          <w:rFonts w:cstheme="minorHAnsi"/>
          <w:sz w:val="22"/>
          <w:szCs w:val="22"/>
          <w:lang w:val="en-US"/>
        </w:rPr>
        <w:t xml:space="preserve"> to replace the existing Z6 (Employment / Enterprise) zoning.</w:t>
      </w:r>
    </w:p>
    <w:p w14:paraId="555AF0BA" w14:textId="77777777" w:rsidR="005A61BD" w:rsidRPr="00455C50" w:rsidRDefault="005A61BD" w:rsidP="005A61BD">
      <w:pPr>
        <w:pStyle w:val="ListParagraph"/>
        <w:numPr>
          <w:ilvl w:val="0"/>
          <w:numId w:val="15"/>
        </w:numPr>
        <w:rPr>
          <w:rFonts w:cstheme="minorHAnsi"/>
          <w:sz w:val="22"/>
          <w:szCs w:val="22"/>
          <w:lang w:val="en-US"/>
        </w:rPr>
      </w:pPr>
      <w:r>
        <w:rPr>
          <w:rFonts w:cstheme="minorHAnsi"/>
          <w:sz w:val="22"/>
          <w:szCs w:val="22"/>
          <w:lang w:val="en-US"/>
        </w:rPr>
        <w:t>Amend Map K, to include the n</w:t>
      </w:r>
      <w:r w:rsidRPr="00455C50">
        <w:rPr>
          <w:rFonts w:cstheme="minorHAnsi"/>
          <w:sz w:val="22"/>
          <w:szCs w:val="22"/>
          <w:lang w:val="en-US"/>
        </w:rPr>
        <w:t xml:space="preserve">ew </w:t>
      </w:r>
      <w:r w:rsidRPr="00455C50">
        <w:rPr>
          <w:rFonts w:cstheme="minorHAnsi"/>
          <w:b/>
          <w:sz w:val="22"/>
          <w:szCs w:val="22"/>
          <w:lang w:val="en-US"/>
        </w:rPr>
        <w:t>Strategic Development and Regeneration Area</w:t>
      </w:r>
      <w:r>
        <w:rPr>
          <w:rFonts w:cstheme="minorHAnsi"/>
          <w:sz w:val="22"/>
          <w:szCs w:val="22"/>
          <w:lang w:val="en-US"/>
        </w:rPr>
        <w:t xml:space="preserve"> (SDRA). </w:t>
      </w:r>
    </w:p>
    <w:p w14:paraId="1CD1E6DD" w14:textId="77777777" w:rsidR="005A61BD" w:rsidRPr="00F4179F" w:rsidRDefault="005A61BD" w:rsidP="005A61BD">
      <w:pPr>
        <w:pStyle w:val="ListParagraph"/>
        <w:numPr>
          <w:ilvl w:val="0"/>
          <w:numId w:val="15"/>
        </w:numPr>
        <w:rPr>
          <w:rFonts w:cstheme="minorHAnsi"/>
          <w:sz w:val="22"/>
          <w:szCs w:val="22"/>
          <w:u w:val="single"/>
        </w:rPr>
      </w:pPr>
      <w:r>
        <w:rPr>
          <w:rFonts w:cstheme="minorHAnsi"/>
          <w:lang w:val="en-US"/>
        </w:rPr>
        <w:t xml:space="preserve">Amend Chapter 15, to insert new </w:t>
      </w:r>
      <w:r w:rsidRPr="002C6653">
        <w:rPr>
          <w:rFonts w:cstheme="minorHAnsi"/>
          <w:lang w:val="en-US"/>
        </w:rPr>
        <w:t>Strategic Development and Regeneration Area (SDRA)</w:t>
      </w:r>
      <w:r w:rsidRPr="002C6653">
        <w:rPr>
          <w:rFonts w:cstheme="minorHAnsi"/>
          <w:b/>
          <w:lang w:val="en-US"/>
        </w:rPr>
        <w:t xml:space="preserve"> Guiding Principles</w:t>
      </w:r>
      <w:r>
        <w:rPr>
          <w:rFonts w:cstheme="minorHAnsi"/>
          <w:lang w:val="en-US"/>
        </w:rPr>
        <w:t xml:space="preserve"> for the subject lands.</w:t>
      </w:r>
    </w:p>
    <w:p w14:paraId="3B927737" w14:textId="77777777" w:rsidR="005A61BD" w:rsidRPr="00F4179F" w:rsidRDefault="005A61BD" w:rsidP="005A61BD">
      <w:pPr>
        <w:pStyle w:val="ListParagraph"/>
        <w:numPr>
          <w:ilvl w:val="0"/>
          <w:numId w:val="15"/>
        </w:numPr>
        <w:rPr>
          <w:rFonts w:cstheme="minorHAnsi"/>
          <w:lang w:val="en-US"/>
        </w:rPr>
      </w:pPr>
      <w:r>
        <w:rPr>
          <w:rFonts w:cstheme="minorHAnsi"/>
          <w:lang w:val="en-US"/>
        </w:rPr>
        <w:t>Amend Chapter 2, to include the SDRA lands into the Core Strategy.</w:t>
      </w:r>
    </w:p>
    <w:p w14:paraId="7CF44507" w14:textId="77777777" w:rsidR="005A61BD" w:rsidRPr="00455C50" w:rsidRDefault="005A61BD" w:rsidP="005A61BD">
      <w:pPr>
        <w:rPr>
          <w:rFonts w:cstheme="minorHAnsi"/>
          <w:sz w:val="22"/>
          <w:szCs w:val="22"/>
          <w:u w:val="single"/>
        </w:rPr>
      </w:pPr>
      <w:r w:rsidRPr="00455C50">
        <w:rPr>
          <w:rFonts w:cstheme="minorHAnsi"/>
          <w:sz w:val="22"/>
          <w:szCs w:val="22"/>
        </w:rPr>
        <w:t xml:space="preserve">It is proposed to include additional text to Section 15.1.1 of the City Development Plan and a new figure in respect of proposed </w:t>
      </w:r>
      <w:r w:rsidRPr="00455C50">
        <w:rPr>
          <w:rFonts w:cstheme="minorHAnsi"/>
          <w:b/>
          <w:sz w:val="22"/>
          <w:szCs w:val="22"/>
        </w:rPr>
        <w:t>SDRA 19</w:t>
      </w:r>
      <w:r w:rsidRPr="00455C50">
        <w:rPr>
          <w:rFonts w:cstheme="minorHAnsi"/>
          <w:b/>
          <w:sz w:val="22"/>
          <w:szCs w:val="22"/>
          <w:lang w:val="en-US"/>
        </w:rPr>
        <w:t xml:space="preserve"> Jamestown Road, St Margaret’s Road and McKee Avenue, Finglas</w:t>
      </w:r>
      <w:r w:rsidRPr="00455C50">
        <w:rPr>
          <w:rFonts w:cstheme="minorHAnsi"/>
          <w:sz w:val="22"/>
          <w:szCs w:val="22"/>
          <w:lang w:val="en-US"/>
        </w:rPr>
        <w:t xml:space="preserve">, to include the following: </w:t>
      </w:r>
    </w:p>
    <w:p w14:paraId="42092BC2" w14:textId="77777777" w:rsidR="005A61BD" w:rsidRPr="00455C50" w:rsidRDefault="005A61BD" w:rsidP="005A61BD">
      <w:pPr>
        <w:rPr>
          <w:rFonts w:cstheme="minorHAnsi"/>
          <w:b/>
          <w:i/>
          <w:sz w:val="22"/>
          <w:szCs w:val="22"/>
        </w:rPr>
      </w:pPr>
      <w:r w:rsidRPr="00455C50">
        <w:rPr>
          <w:rFonts w:cstheme="minorHAnsi"/>
          <w:b/>
          <w:i/>
          <w:sz w:val="22"/>
          <w:szCs w:val="22"/>
        </w:rPr>
        <w:t>Guiding Principles for the SDRA</w:t>
      </w:r>
    </w:p>
    <w:p w14:paraId="74E08206" w14:textId="77777777" w:rsidR="005A61BD" w:rsidRPr="00455C50" w:rsidRDefault="005A61BD" w:rsidP="005A61BD">
      <w:pPr>
        <w:rPr>
          <w:rFonts w:cstheme="minorHAnsi"/>
          <w:sz w:val="22"/>
          <w:szCs w:val="22"/>
          <w:lang w:val="en-US"/>
        </w:rPr>
      </w:pPr>
      <w:r w:rsidRPr="00455C50">
        <w:rPr>
          <w:rFonts w:cstheme="minorHAnsi"/>
          <w:sz w:val="22"/>
          <w:szCs w:val="22"/>
          <w:lang w:val="en-US"/>
        </w:rPr>
        <w:t xml:space="preserve">A number of guiding principles have been established which will inform the future development of the SDRA lands. These principles include requirements for the following: </w:t>
      </w:r>
    </w:p>
    <w:p w14:paraId="63E90422" w14:textId="77777777" w:rsidR="005A61BD" w:rsidRPr="00455C50" w:rsidRDefault="005A61BD" w:rsidP="005A61BD">
      <w:pPr>
        <w:numPr>
          <w:ilvl w:val="0"/>
          <w:numId w:val="16"/>
        </w:numPr>
        <w:spacing w:line="259" w:lineRule="auto"/>
        <w:contextualSpacing/>
        <w:rPr>
          <w:rFonts w:cstheme="minorHAnsi"/>
          <w:sz w:val="22"/>
          <w:szCs w:val="22"/>
          <w:lang w:val="en-US"/>
        </w:rPr>
      </w:pPr>
      <w:r w:rsidRPr="00455C50">
        <w:rPr>
          <w:rFonts w:cstheme="minorHAnsi"/>
          <w:sz w:val="22"/>
          <w:szCs w:val="22"/>
          <w:lang w:val="en-US"/>
        </w:rPr>
        <w:t>Urban Structure.</w:t>
      </w:r>
    </w:p>
    <w:p w14:paraId="7D50722D" w14:textId="77777777" w:rsidR="005A61BD" w:rsidRPr="00455C50" w:rsidRDefault="005A61BD" w:rsidP="005A61BD">
      <w:pPr>
        <w:numPr>
          <w:ilvl w:val="0"/>
          <w:numId w:val="16"/>
        </w:numPr>
        <w:spacing w:line="259" w:lineRule="auto"/>
        <w:contextualSpacing/>
        <w:rPr>
          <w:rFonts w:cstheme="minorHAnsi"/>
          <w:sz w:val="22"/>
          <w:szCs w:val="22"/>
          <w:lang w:val="en-US"/>
        </w:rPr>
      </w:pPr>
      <w:r w:rsidRPr="00455C50">
        <w:rPr>
          <w:rFonts w:cstheme="minorHAnsi"/>
          <w:sz w:val="22"/>
          <w:szCs w:val="22"/>
          <w:lang w:val="en-US"/>
        </w:rPr>
        <w:t>Land Use &amp; Activity.</w:t>
      </w:r>
    </w:p>
    <w:p w14:paraId="123922C9" w14:textId="77777777" w:rsidR="005A61BD" w:rsidRPr="00455C50" w:rsidRDefault="005A61BD" w:rsidP="005A61BD">
      <w:pPr>
        <w:numPr>
          <w:ilvl w:val="0"/>
          <w:numId w:val="16"/>
        </w:numPr>
        <w:spacing w:line="259" w:lineRule="auto"/>
        <w:contextualSpacing/>
        <w:rPr>
          <w:rFonts w:cstheme="minorHAnsi"/>
          <w:sz w:val="22"/>
          <w:szCs w:val="22"/>
          <w:lang w:val="en-US"/>
        </w:rPr>
      </w:pPr>
      <w:r w:rsidRPr="00455C50">
        <w:rPr>
          <w:rFonts w:cstheme="minorHAnsi"/>
          <w:sz w:val="22"/>
          <w:szCs w:val="22"/>
          <w:lang w:val="en-US"/>
        </w:rPr>
        <w:t>Height.</w:t>
      </w:r>
    </w:p>
    <w:p w14:paraId="34F82501" w14:textId="77777777" w:rsidR="005A61BD" w:rsidRPr="00455C50" w:rsidRDefault="005A61BD" w:rsidP="005A61BD">
      <w:pPr>
        <w:numPr>
          <w:ilvl w:val="0"/>
          <w:numId w:val="16"/>
        </w:numPr>
        <w:spacing w:line="259" w:lineRule="auto"/>
        <w:contextualSpacing/>
        <w:rPr>
          <w:rFonts w:cstheme="minorHAnsi"/>
          <w:sz w:val="22"/>
          <w:szCs w:val="22"/>
          <w:lang w:val="en-US"/>
        </w:rPr>
      </w:pPr>
      <w:r w:rsidRPr="00455C50">
        <w:rPr>
          <w:rFonts w:cstheme="minorHAnsi"/>
          <w:sz w:val="22"/>
          <w:szCs w:val="22"/>
          <w:lang w:val="en-US"/>
        </w:rPr>
        <w:t>Design.</w:t>
      </w:r>
    </w:p>
    <w:p w14:paraId="2EB062BE" w14:textId="77777777" w:rsidR="005A61BD" w:rsidRPr="00455C50" w:rsidRDefault="005A61BD" w:rsidP="005A61BD">
      <w:pPr>
        <w:numPr>
          <w:ilvl w:val="0"/>
          <w:numId w:val="16"/>
        </w:numPr>
        <w:spacing w:line="259" w:lineRule="auto"/>
        <w:contextualSpacing/>
        <w:rPr>
          <w:rFonts w:cstheme="minorHAnsi"/>
          <w:sz w:val="22"/>
          <w:szCs w:val="22"/>
          <w:lang w:val="en-US"/>
        </w:rPr>
      </w:pPr>
      <w:r w:rsidRPr="00455C50">
        <w:rPr>
          <w:rFonts w:cstheme="minorHAnsi"/>
          <w:sz w:val="22"/>
          <w:szCs w:val="22"/>
          <w:lang w:val="en-US"/>
        </w:rPr>
        <w:t>Green Infrastructure.</w:t>
      </w:r>
    </w:p>
    <w:p w14:paraId="3FC8E286" w14:textId="77777777" w:rsidR="005A61BD" w:rsidRPr="00455C50" w:rsidRDefault="005A61BD" w:rsidP="005A61BD">
      <w:pPr>
        <w:numPr>
          <w:ilvl w:val="0"/>
          <w:numId w:val="16"/>
        </w:numPr>
        <w:spacing w:line="259" w:lineRule="auto"/>
        <w:contextualSpacing/>
        <w:rPr>
          <w:rFonts w:cstheme="minorHAnsi"/>
          <w:sz w:val="22"/>
          <w:szCs w:val="22"/>
          <w:lang w:val="en-US"/>
        </w:rPr>
      </w:pPr>
      <w:r w:rsidRPr="00455C50">
        <w:rPr>
          <w:rFonts w:cstheme="minorHAnsi"/>
          <w:sz w:val="22"/>
          <w:szCs w:val="22"/>
          <w:lang w:val="en-US"/>
        </w:rPr>
        <w:t>Climate Change.</w:t>
      </w:r>
    </w:p>
    <w:p w14:paraId="18A6FDCF" w14:textId="77777777" w:rsidR="005A61BD" w:rsidRDefault="005A61BD" w:rsidP="005A61BD">
      <w:pPr>
        <w:rPr>
          <w:rFonts w:cstheme="minorHAnsi"/>
          <w:b/>
          <w:i/>
          <w:sz w:val="22"/>
          <w:szCs w:val="22"/>
          <w:lang w:val="en-US"/>
        </w:rPr>
      </w:pPr>
    </w:p>
    <w:p w14:paraId="59639A7B" w14:textId="77777777" w:rsidR="005A61BD" w:rsidRPr="00455C50" w:rsidRDefault="005A61BD" w:rsidP="005A61BD">
      <w:pPr>
        <w:rPr>
          <w:rFonts w:cstheme="minorHAnsi"/>
          <w:b/>
          <w:i/>
          <w:sz w:val="22"/>
          <w:szCs w:val="22"/>
          <w:lang w:val="en-US"/>
        </w:rPr>
      </w:pPr>
      <w:r w:rsidRPr="00455C50">
        <w:rPr>
          <w:rFonts w:cstheme="minorHAnsi"/>
          <w:b/>
          <w:i/>
          <w:sz w:val="22"/>
          <w:szCs w:val="22"/>
          <w:lang w:val="en-US"/>
        </w:rPr>
        <w:t>Requirement for Masterplan</w:t>
      </w:r>
    </w:p>
    <w:p w14:paraId="7848B857" w14:textId="1B789AC3" w:rsidR="002C3341" w:rsidRPr="0038507E" w:rsidRDefault="002C3341" w:rsidP="002C3341">
      <w:pPr>
        <w:rPr>
          <w:rFonts w:cstheme="minorHAnsi"/>
          <w:lang w:val="en-US"/>
        </w:rPr>
      </w:pPr>
      <w:r>
        <w:rPr>
          <w:rFonts w:cstheme="minorHAnsi"/>
          <w:lang w:val="en-US"/>
        </w:rPr>
        <w:t>T</w:t>
      </w:r>
      <w:r w:rsidRPr="0038507E">
        <w:rPr>
          <w:rFonts w:cstheme="minorHAnsi"/>
          <w:lang w:val="en-US"/>
        </w:rPr>
        <w:t>o ensure that the development of the subject lands occurs in a sustainable and coherent manner, a masterplan shall be prepared for the entire SDRA by all</w:t>
      </w:r>
      <w:r>
        <w:rPr>
          <w:rFonts w:cstheme="minorHAnsi"/>
          <w:lang w:val="en-US"/>
        </w:rPr>
        <w:t xml:space="preserve"> major</w:t>
      </w:r>
      <w:r w:rsidRPr="0038507E">
        <w:rPr>
          <w:rFonts w:cstheme="minorHAnsi"/>
          <w:lang w:val="en-US"/>
        </w:rPr>
        <w:t xml:space="preserve"> landowners, which </w:t>
      </w:r>
      <w:r>
        <w:rPr>
          <w:rFonts w:cstheme="minorHAnsi"/>
          <w:lang w:val="en-US"/>
        </w:rPr>
        <w:t xml:space="preserve">complies with </w:t>
      </w:r>
      <w:r w:rsidRPr="0038507E">
        <w:rPr>
          <w:rFonts w:cstheme="minorHAnsi"/>
          <w:lang w:val="en-US"/>
        </w:rPr>
        <w:t xml:space="preserve">the guiding principles above, to be agreed with the Planning Authority, </w:t>
      </w:r>
      <w:r>
        <w:rPr>
          <w:rFonts w:cstheme="minorHAnsi"/>
          <w:lang w:val="en-US"/>
        </w:rPr>
        <w:t>before</w:t>
      </w:r>
      <w:r w:rsidRPr="0038507E">
        <w:rPr>
          <w:rFonts w:cstheme="minorHAnsi"/>
          <w:lang w:val="en-US"/>
        </w:rPr>
        <w:t xml:space="preserve"> the </w:t>
      </w:r>
      <w:r w:rsidR="00C60D63" w:rsidRPr="0038507E">
        <w:rPr>
          <w:rFonts w:cstheme="minorHAnsi"/>
          <w:lang w:val="en-US"/>
        </w:rPr>
        <w:t>lodg</w:t>
      </w:r>
      <w:r w:rsidR="00C60D63">
        <w:rPr>
          <w:rFonts w:cstheme="minorHAnsi"/>
          <w:lang w:val="en-US"/>
        </w:rPr>
        <w:t>m</w:t>
      </w:r>
      <w:r w:rsidR="00C60D63" w:rsidRPr="0038507E">
        <w:rPr>
          <w:rFonts w:cstheme="minorHAnsi"/>
          <w:lang w:val="en-US"/>
        </w:rPr>
        <w:t>ent</w:t>
      </w:r>
      <w:r w:rsidRPr="0038507E">
        <w:rPr>
          <w:rFonts w:cstheme="minorHAnsi"/>
          <w:lang w:val="en-US"/>
        </w:rPr>
        <w:t xml:space="preserve"> of any planning application. </w:t>
      </w:r>
      <w:r>
        <w:rPr>
          <w:rFonts w:cstheme="minorHAnsi"/>
          <w:lang w:val="en-US"/>
        </w:rPr>
        <w:t xml:space="preserve">  All planning applications in the SDRA will be required to comply with the Masterplan and the Principles outlined above.  Minor deviations will only be considered where the change supports the implementation of the Principles and provides an improved solution. </w:t>
      </w:r>
    </w:p>
    <w:p w14:paraId="3A168134" w14:textId="77CB4053" w:rsidR="005A61BD" w:rsidRPr="00455C50" w:rsidRDefault="005A61BD" w:rsidP="005A61BD">
      <w:pPr>
        <w:rPr>
          <w:rFonts w:cstheme="minorHAnsi"/>
          <w:sz w:val="22"/>
          <w:szCs w:val="22"/>
          <w:lang w:val="en-US"/>
        </w:rPr>
      </w:pPr>
      <w:r w:rsidRPr="00455C50">
        <w:rPr>
          <w:rFonts w:cstheme="minorHAnsi"/>
          <w:sz w:val="22"/>
          <w:szCs w:val="22"/>
          <w:lang w:val="en-US"/>
        </w:rPr>
        <w:t xml:space="preserve">This Masterplan shall respond to the SDRA guiding principles and will not be limited to, but shall include details on the following: </w:t>
      </w:r>
    </w:p>
    <w:p w14:paraId="0C677884" w14:textId="77777777" w:rsidR="005A61BD" w:rsidRPr="00455C50" w:rsidRDefault="005A61BD" w:rsidP="005A61BD">
      <w:pPr>
        <w:pStyle w:val="ListParagraph"/>
        <w:numPr>
          <w:ilvl w:val="0"/>
          <w:numId w:val="17"/>
        </w:numPr>
        <w:rPr>
          <w:rFonts w:cstheme="minorHAnsi"/>
          <w:sz w:val="22"/>
          <w:szCs w:val="22"/>
          <w:lang w:val="en-US"/>
        </w:rPr>
      </w:pPr>
      <w:r w:rsidRPr="00455C50">
        <w:rPr>
          <w:rFonts w:cstheme="minorHAnsi"/>
          <w:sz w:val="22"/>
          <w:szCs w:val="22"/>
          <w:lang w:val="en-US"/>
        </w:rPr>
        <w:t>Public realm and street design and interface with existing streets.</w:t>
      </w:r>
    </w:p>
    <w:p w14:paraId="78872482" w14:textId="77777777" w:rsidR="005A61BD" w:rsidRPr="00455C50" w:rsidRDefault="005A61BD" w:rsidP="005A61BD">
      <w:pPr>
        <w:pStyle w:val="ListParagraph"/>
        <w:numPr>
          <w:ilvl w:val="0"/>
          <w:numId w:val="17"/>
        </w:numPr>
        <w:rPr>
          <w:rFonts w:cstheme="minorHAnsi"/>
          <w:sz w:val="22"/>
          <w:szCs w:val="22"/>
          <w:lang w:val="en-US"/>
        </w:rPr>
      </w:pPr>
      <w:r w:rsidRPr="00455C50">
        <w:rPr>
          <w:rFonts w:cstheme="minorHAnsi"/>
          <w:sz w:val="22"/>
          <w:szCs w:val="22"/>
          <w:lang w:val="en-US"/>
        </w:rPr>
        <w:t>Housing Needs Demand Analysis (HNDA).</w:t>
      </w:r>
    </w:p>
    <w:p w14:paraId="73909725" w14:textId="77777777" w:rsidR="005A61BD" w:rsidRPr="00455C50" w:rsidRDefault="005A61BD" w:rsidP="005A61BD">
      <w:pPr>
        <w:pStyle w:val="ListParagraph"/>
        <w:numPr>
          <w:ilvl w:val="0"/>
          <w:numId w:val="17"/>
        </w:numPr>
        <w:rPr>
          <w:rFonts w:cstheme="minorHAnsi"/>
          <w:sz w:val="22"/>
          <w:szCs w:val="22"/>
          <w:lang w:val="en-US"/>
        </w:rPr>
      </w:pPr>
      <w:r w:rsidRPr="00455C50">
        <w:rPr>
          <w:rFonts w:cstheme="minorHAnsi"/>
          <w:sz w:val="22"/>
          <w:szCs w:val="22"/>
          <w:lang w:val="en-US"/>
        </w:rPr>
        <w:t>Range of housing typologies.</w:t>
      </w:r>
    </w:p>
    <w:p w14:paraId="0D035377" w14:textId="77777777" w:rsidR="005A61BD" w:rsidRPr="00455C50" w:rsidRDefault="005A61BD" w:rsidP="005A61BD">
      <w:pPr>
        <w:pStyle w:val="ListParagraph"/>
        <w:numPr>
          <w:ilvl w:val="0"/>
          <w:numId w:val="17"/>
        </w:numPr>
        <w:rPr>
          <w:rFonts w:cstheme="minorHAnsi"/>
          <w:sz w:val="22"/>
          <w:szCs w:val="22"/>
          <w:lang w:val="en-US"/>
        </w:rPr>
      </w:pPr>
      <w:r w:rsidRPr="00455C50">
        <w:rPr>
          <w:rFonts w:cstheme="minorHAnsi"/>
          <w:sz w:val="22"/>
          <w:szCs w:val="22"/>
          <w:lang w:val="en-US"/>
        </w:rPr>
        <w:t>Green Infrastructure Strategy.</w:t>
      </w:r>
    </w:p>
    <w:p w14:paraId="53A5BACB" w14:textId="77777777" w:rsidR="005A61BD" w:rsidRPr="00455C50" w:rsidRDefault="005A61BD" w:rsidP="005A61BD">
      <w:pPr>
        <w:pStyle w:val="ListParagraph"/>
        <w:numPr>
          <w:ilvl w:val="0"/>
          <w:numId w:val="17"/>
        </w:numPr>
        <w:rPr>
          <w:rFonts w:cstheme="minorHAnsi"/>
          <w:sz w:val="22"/>
          <w:szCs w:val="22"/>
          <w:lang w:val="en-US"/>
        </w:rPr>
      </w:pPr>
      <w:r w:rsidRPr="00455C50">
        <w:rPr>
          <w:rFonts w:cstheme="minorHAnsi"/>
          <w:sz w:val="22"/>
          <w:szCs w:val="22"/>
          <w:lang w:val="en-US"/>
        </w:rPr>
        <w:t>Integrated Surface Water Management Strategy.</w:t>
      </w:r>
    </w:p>
    <w:p w14:paraId="17FBF14A" w14:textId="77777777" w:rsidR="005A61BD" w:rsidRPr="00455C50" w:rsidRDefault="005A61BD" w:rsidP="005A61BD">
      <w:pPr>
        <w:pStyle w:val="ListParagraph"/>
        <w:numPr>
          <w:ilvl w:val="0"/>
          <w:numId w:val="17"/>
        </w:numPr>
        <w:rPr>
          <w:rFonts w:cstheme="minorHAnsi"/>
          <w:sz w:val="22"/>
          <w:szCs w:val="22"/>
          <w:lang w:val="en-US"/>
        </w:rPr>
      </w:pPr>
      <w:r w:rsidRPr="00455C50">
        <w:rPr>
          <w:rFonts w:cstheme="minorHAnsi"/>
          <w:sz w:val="22"/>
          <w:szCs w:val="22"/>
          <w:lang w:val="en-US"/>
        </w:rPr>
        <w:t>Mobility Management Strategy.</w:t>
      </w:r>
    </w:p>
    <w:p w14:paraId="37645ACE" w14:textId="77777777" w:rsidR="005A61BD" w:rsidRPr="00455C50" w:rsidRDefault="005A61BD" w:rsidP="005A61BD">
      <w:pPr>
        <w:pStyle w:val="ListParagraph"/>
        <w:numPr>
          <w:ilvl w:val="0"/>
          <w:numId w:val="17"/>
        </w:numPr>
        <w:rPr>
          <w:rFonts w:cstheme="minorHAnsi"/>
          <w:sz w:val="22"/>
          <w:szCs w:val="22"/>
          <w:lang w:val="en-US"/>
        </w:rPr>
      </w:pPr>
      <w:r w:rsidRPr="00455C50">
        <w:rPr>
          <w:rFonts w:cstheme="minorHAnsi"/>
          <w:sz w:val="22"/>
          <w:szCs w:val="22"/>
          <w:lang w:val="en-US"/>
        </w:rPr>
        <w:t>Encourage exploration of options for district heating.</w:t>
      </w:r>
    </w:p>
    <w:p w14:paraId="1FFC7026" w14:textId="77777777" w:rsidR="005A61BD" w:rsidRPr="00455C50" w:rsidRDefault="005A61BD" w:rsidP="005A61BD">
      <w:pPr>
        <w:pStyle w:val="ListParagraph"/>
        <w:numPr>
          <w:ilvl w:val="0"/>
          <w:numId w:val="17"/>
        </w:numPr>
        <w:rPr>
          <w:rFonts w:cstheme="minorHAnsi"/>
          <w:sz w:val="22"/>
          <w:szCs w:val="22"/>
          <w:lang w:val="en-US"/>
        </w:rPr>
      </w:pPr>
      <w:r w:rsidRPr="00455C50">
        <w:rPr>
          <w:rFonts w:cstheme="minorHAnsi"/>
          <w:sz w:val="22"/>
          <w:szCs w:val="22"/>
          <w:lang w:val="en-US"/>
        </w:rPr>
        <w:t>Statement submitted with any planning permission demonstrating how proposals accord with SDRA and Masterplan.</w:t>
      </w:r>
    </w:p>
    <w:p w14:paraId="32671714" w14:textId="77777777" w:rsidR="005A61BD" w:rsidRPr="00455C50" w:rsidRDefault="005A61BD" w:rsidP="005A61BD">
      <w:pPr>
        <w:pStyle w:val="ListParagraph"/>
        <w:numPr>
          <w:ilvl w:val="0"/>
          <w:numId w:val="17"/>
        </w:numPr>
        <w:rPr>
          <w:rFonts w:cstheme="minorHAnsi"/>
          <w:sz w:val="22"/>
          <w:szCs w:val="22"/>
          <w:lang w:val="en-US"/>
        </w:rPr>
      </w:pPr>
      <w:r w:rsidRPr="00455C50">
        <w:rPr>
          <w:rFonts w:cstheme="minorHAnsi"/>
          <w:sz w:val="22"/>
          <w:szCs w:val="22"/>
          <w:lang w:val="en-US"/>
        </w:rPr>
        <w:t xml:space="preserve">Development shall occur sequentially and contiguous to existing residential development. </w:t>
      </w:r>
    </w:p>
    <w:p w14:paraId="37ED39BA" w14:textId="77777777" w:rsidR="005A61BD" w:rsidRDefault="005A61BD" w:rsidP="005A61BD">
      <w:pPr>
        <w:pStyle w:val="ListParagraph"/>
        <w:numPr>
          <w:ilvl w:val="0"/>
          <w:numId w:val="17"/>
        </w:numPr>
        <w:rPr>
          <w:rFonts w:cstheme="minorHAnsi"/>
          <w:sz w:val="22"/>
          <w:szCs w:val="22"/>
          <w:lang w:val="en-US"/>
        </w:rPr>
      </w:pPr>
      <w:r w:rsidRPr="00455C50">
        <w:rPr>
          <w:rFonts w:cstheme="minorHAnsi"/>
          <w:sz w:val="22"/>
          <w:szCs w:val="22"/>
          <w:lang w:val="en-US"/>
        </w:rPr>
        <w:t>Phasing plan.</w:t>
      </w:r>
    </w:p>
    <w:p w14:paraId="22CC57C8" w14:textId="77777777" w:rsidR="005A61BD" w:rsidRDefault="005A61BD" w:rsidP="005A61BD">
      <w:pPr>
        <w:pStyle w:val="ListParagraph"/>
        <w:numPr>
          <w:ilvl w:val="0"/>
          <w:numId w:val="17"/>
        </w:numPr>
        <w:rPr>
          <w:rFonts w:cstheme="minorHAnsi"/>
          <w:sz w:val="22"/>
          <w:szCs w:val="22"/>
          <w:lang w:val="en-US"/>
        </w:rPr>
      </w:pPr>
      <w:r>
        <w:rPr>
          <w:rFonts w:cstheme="minorHAnsi"/>
          <w:sz w:val="22"/>
          <w:szCs w:val="22"/>
          <w:lang w:val="en-US"/>
        </w:rPr>
        <w:t xml:space="preserve">Delivery of new community facilities. </w:t>
      </w:r>
    </w:p>
    <w:p w14:paraId="14506AE0" w14:textId="77777777" w:rsidR="005A61BD" w:rsidRDefault="005A61BD" w:rsidP="005A61BD"/>
    <w:p w14:paraId="6C20D755" w14:textId="77777777" w:rsidR="005A61BD" w:rsidRPr="00BF08F5" w:rsidRDefault="005A61BD" w:rsidP="005A61BD">
      <w:r w:rsidRPr="00BF08F5">
        <w:t xml:space="preserve">It is proposed to amend </w:t>
      </w:r>
      <w:r w:rsidRPr="00D74A32">
        <w:rPr>
          <w:b/>
        </w:rPr>
        <w:t>Chapter 2</w:t>
      </w:r>
      <w:r>
        <w:t xml:space="preserve"> by amending </w:t>
      </w:r>
      <w:r w:rsidRPr="00BF08F5">
        <w:t xml:space="preserve">table C (page 22) to include the </w:t>
      </w:r>
      <w:proofErr w:type="spellStart"/>
      <w:r w:rsidRPr="00BF08F5">
        <w:t>hectage</w:t>
      </w:r>
      <w:proofErr w:type="spellEnd"/>
      <w:r w:rsidRPr="00BF08F5">
        <w:t xml:space="preserve"> as one of the “other zonings containing residential use”; thus increasing the size from 2043 to 2086 and the associated total from 6509 to 6552.  </w:t>
      </w:r>
    </w:p>
    <w:p w14:paraId="42F1CE6A" w14:textId="77777777" w:rsidR="005A61BD" w:rsidRPr="00BF08F5" w:rsidRDefault="005A61BD" w:rsidP="005A61BD">
      <w:pPr>
        <w:rPr>
          <w:color w:val="000000" w:themeColor="text1"/>
          <w:lang w:val="en-US"/>
        </w:rPr>
      </w:pPr>
      <w:r w:rsidRPr="00BF08F5">
        <w:rPr>
          <w:color w:val="000000" w:themeColor="text1"/>
          <w:lang w:val="en-US"/>
        </w:rPr>
        <w:t>It is also proposed to add Finglas SDRA to Table E (page 25) and amend the total so that is reads:</w:t>
      </w:r>
    </w:p>
    <w:tbl>
      <w:tblPr>
        <w:tblStyle w:val="TableGrid"/>
        <w:tblW w:w="0" w:type="auto"/>
        <w:tblLook w:val="04A0" w:firstRow="1" w:lastRow="0" w:firstColumn="1" w:lastColumn="0" w:noHBand="0" w:noVBand="1"/>
        <w:tblCaption w:val="Amended Table E"/>
        <w:tblDescription w:val="Amended Table E to include SDRA 19"/>
      </w:tblPr>
      <w:tblGrid>
        <w:gridCol w:w="3005"/>
        <w:gridCol w:w="3005"/>
        <w:gridCol w:w="3006"/>
      </w:tblGrid>
      <w:tr w:rsidR="005A61BD" w:rsidRPr="00A4246D" w14:paraId="4A6244A6" w14:textId="77777777" w:rsidTr="0070492C">
        <w:trPr>
          <w:tblHeader/>
        </w:trPr>
        <w:tc>
          <w:tcPr>
            <w:tcW w:w="3005" w:type="dxa"/>
          </w:tcPr>
          <w:p w14:paraId="5188A022" w14:textId="77777777" w:rsidR="005A61BD" w:rsidRPr="00A4246D" w:rsidRDefault="005A61BD" w:rsidP="0070492C">
            <w:pPr>
              <w:rPr>
                <w:rFonts w:cstheme="minorHAnsi"/>
                <w:color w:val="000000" w:themeColor="text1"/>
                <w:lang w:val="en-US"/>
              </w:rPr>
            </w:pPr>
            <w:r w:rsidRPr="00A4246D">
              <w:rPr>
                <w:rFonts w:cstheme="minorHAnsi"/>
                <w:color w:val="000000" w:themeColor="text1"/>
                <w:lang w:val="en-US"/>
              </w:rPr>
              <w:t>SDRA 19</w:t>
            </w:r>
          </w:p>
        </w:tc>
        <w:tc>
          <w:tcPr>
            <w:tcW w:w="3005" w:type="dxa"/>
          </w:tcPr>
          <w:p w14:paraId="01741A36" w14:textId="77777777" w:rsidR="005A61BD" w:rsidRPr="00A4246D" w:rsidRDefault="005A61BD" w:rsidP="0070492C">
            <w:pPr>
              <w:rPr>
                <w:rFonts w:cstheme="minorHAnsi"/>
                <w:color w:val="000000" w:themeColor="text1"/>
                <w:lang w:val="en-US"/>
              </w:rPr>
            </w:pPr>
            <w:r w:rsidRPr="00A4246D">
              <w:rPr>
                <w:rFonts w:cstheme="minorHAnsi"/>
                <w:color w:val="000000" w:themeColor="text1"/>
                <w:lang w:val="en-US"/>
              </w:rPr>
              <w:t>Finglas</w:t>
            </w:r>
          </w:p>
        </w:tc>
        <w:tc>
          <w:tcPr>
            <w:tcW w:w="3006" w:type="dxa"/>
          </w:tcPr>
          <w:p w14:paraId="5E1E45A2" w14:textId="77777777" w:rsidR="005A61BD" w:rsidRPr="00A4246D" w:rsidRDefault="005A61BD" w:rsidP="0070492C">
            <w:pPr>
              <w:rPr>
                <w:rFonts w:cstheme="minorHAnsi"/>
                <w:color w:val="000000" w:themeColor="text1"/>
                <w:lang w:val="en-US"/>
              </w:rPr>
            </w:pPr>
            <w:r w:rsidRPr="00A4246D">
              <w:rPr>
                <w:rFonts w:cstheme="minorHAnsi"/>
                <w:color w:val="000000" w:themeColor="text1"/>
                <w:lang w:val="en-US"/>
              </w:rPr>
              <w:t>2,200</w:t>
            </w:r>
          </w:p>
        </w:tc>
      </w:tr>
      <w:tr w:rsidR="005A61BD" w:rsidRPr="00A4246D" w14:paraId="08ADDE96" w14:textId="77777777" w:rsidTr="0070492C">
        <w:tc>
          <w:tcPr>
            <w:tcW w:w="3005" w:type="dxa"/>
          </w:tcPr>
          <w:p w14:paraId="36F06FB8" w14:textId="77777777" w:rsidR="005A61BD" w:rsidRPr="00A4246D" w:rsidRDefault="005A61BD" w:rsidP="0070492C">
            <w:pPr>
              <w:rPr>
                <w:rFonts w:cstheme="minorHAnsi"/>
                <w:color w:val="000000" w:themeColor="text1"/>
                <w:lang w:val="en-US"/>
              </w:rPr>
            </w:pPr>
          </w:p>
        </w:tc>
        <w:tc>
          <w:tcPr>
            <w:tcW w:w="3005" w:type="dxa"/>
          </w:tcPr>
          <w:p w14:paraId="40FAB066" w14:textId="77777777" w:rsidR="005A61BD" w:rsidRPr="00A4246D" w:rsidRDefault="005A61BD" w:rsidP="0070492C">
            <w:pPr>
              <w:rPr>
                <w:rFonts w:cstheme="minorHAnsi"/>
                <w:color w:val="000000" w:themeColor="text1"/>
                <w:lang w:val="en-US"/>
              </w:rPr>
            </w:pPr>
            <w:r w:rsidRPr="00A4246D">
              <w:rPr>
                <w:rFonts w:cstheme="minorHAnsi"/>
                <w:color w:val="000000" w:themeColor="text1"/>
                <w:lang w:val="en-US"/>
              </w:rPr>
              <w:t>Total</w:t>
            </w:r>
          </w:p>
        </w:tc>
        <w:tc>
          <w:tcPr>
            <w:tcW w:w="3006" w:type="dxa"/>
          </w:tcPr>
          <w:p w14:paraId="6C4E08A0" w14:textId="77777777" w:rsidR="005A61BD" w:rsidRPr="00A4246D" w:rsidRDefault="005A61BD" w:rsidP="0070492C">
            <w:pPr>
              <w:rPr>
                <w:rFonts w:cstheme="minorHAnsi"/>
                <w:color w:val="000000" w:themeColor="text1"/>
                <w:lang w:val="en-US"/>
              </w:rPr>
            </w:pPr>
            <w:r w:rsidRPr="00A4246D">
              <w:rPr>
                <w:rFonts w:cstheme="minorHAnsi"/>
                <w:color w:val="000000" w:themeColor="text1"/>
                <w:lang w:val="en-US"/>
              </w:rPr>
              <w:t>54,500- 54,800.</w:t>
            </w:r>
          </w:p>
        </w:tc>
      </w:tr>
    </w:tbl>
    <w:p w14:paraId="4F628FB6" w14:textId="703A7777" w:rsidR="00400090" w:rsidRPr="00BD2055" w:rsidRDefault="005A61BD" w:rsidP="005A61BD">
      <w:pPr>
        <w:rPr>
          <w:rFonts w:asciiTheme="majorHAnsi" w:eastAsiaTheme="majorEastAsia" w:hAnsiTheme="majorHAnsi" w:cstheme="majorBidi"/>
          <w:color w:val="262626" w:themeColor="text1" w:themeTint="D9"/>
          <w:sz w:val="22"/>
          <w:szCs w:val="22"/>
          <w:lang w:val="en-US"/>
        </w:rPr>
      </w:pPr>
      <w:r>
        <w:rPr>
          <w:sz w:val="22"/>
          <w:szCs w:val="22"/>
          <w:lang w:val="en-US"/>
        </w:rPr>
        <w:br w:type="page"/>
      </w:r>
    </w:p>
    <w:p w14:paraId="416867CC" w14:textId="1055A647" w:rsidR="001E3652" w:rsidRPr="006431E5" w:rsidRDefault="001E3652" w:rsidP="001E3652">
      <w:pPr>
        <w:pStyle w:val="Heading1"/>
        <w:rPr>
          <w:rFonts w:asciiTheme="minorHAnsi" w:eastAsiaTheme="minorEastAsia" w:hAnsiTheme="minorHAnsi" w:cstheme="minorHAnsi"/>
          <w:sz w:val="22"/>
          <w:szCs w:val="22"/>
        </w:rPr>
      </w:pPr>
      <w:bookmarkStart w:id="13" w:name="_Toc66806895"/>
      <w:r w:rsidRPr="006431E5">
        <w:rPr>
          <w:rFonts w:asciiTheme="minorHAnsi" w:eastAsiaTheme="minorEastAsia" w:hAnsiTheme="minorHAnsi" w:cstheme="minorHAnsi"/>
          <w:sz w:val="22"/>
          <w:szCs w:val="22"/>
        </w:rPr>
        <w:lastRenderedPageBreak/>
        <w:t xml:space="preserve">3.0 </w:t>
      </w:r>
      <w:r w:rsidR="007A5EAD">
        <w:rPr>
          <w:rFonts w:asciiTheme="minorHAnsi" w:eastAsiaTheme="minorEastAsia" w:hAnsiTheme="minorHAnsi" w:cstheme="minorHAnsi"/>
          <w:sz w:val="22"/>
          <w:szCs w:val="22"/>
        </w:rPr>
        <w:t>Context for Variation Lands</w:t>
      </w:r>
      <w:bookmarkEnd w:id="13"/>
    </w:p>
    <w:p w14:paraId="0BAC645B" w14:textId="77777777" w:rsidR="005A61BD" w:rsidRPr="0010767F" w:rsidRDefault="005A61BD" w:rsidP="00197AA5">
      <w:pPr>
        <w:rPr>
          <w:lang w:val="en-US"/>
        </w:rPr>
      </w:pPr>
      <w:r>
        <w:rPr>
          <w:lang w:val="en-US"/>
        </w:rPr>
        <w:t>The c. 43.11-</w:t>
      </w:r>
      <w:r w:rsidRPr="0010767F">
        <w:rPr>
          <w:lang w:val="en-US"/>
        </w:rPr>
        <w:t>hectare</w:t>
      </w:r>
      <w:r w:rsidRPr="0010767F">
        <w:t xml:space="preserve"> land bank</w:t>
      </w:r>
      <w:r w:rsidRPr="0010767F">
        <w:rPr>
          <w:lang w:val="en-US"/>
        </w:rPr>
        <w:t xml:space="preserve"> is situated to the immediate north of Finglas village and is bound by Jamestown Road to the east, McKee Avenue, and St Margaret’s Road to the west and </w:t>
      </w:r>
      <w:r>
        <w:rPr>
          <w:lang w:val="en-US"/>
        </w:rPr>
        <w:t>interfaces with</w:t>
      </w:r>
      <w:r w:rsidRPr="0010767F">
        <w:rPr>
          <w:lang w:val="en-US"/>
        </w:rPr>
        <w:t xml:space="preserve"> the administrative boundary </w:t>
      </w:r>
      <w:r>
        <w:rPr>
          <w:lang w:val="en-US"/>
        </w:rPr>
        <w:t>of</w:t>
      </w:r>
      <w:r w:rsidRPr="0010767F">
        <w:rPr>
          <w:lang w:val="en-US"/>
        </w:rPr>
        <w:t xml:space="preserve"> Fingal County Council to the north, where the lands are currently</w:t>
      </w:r>
      <w:r w:rsidRPr="0010767F">
        <w:t xml:space="preserve"> characterised</w:t>
      </w:r>
      <w:r w:rsidRPr="0010767F">
        <w:rPr>
          <w:lang w:val="en-US"/>
        </w:rPr>
        <w:t xml:space="preserve"> by employment/industrial uses. </w:t>
      </w:r>
      <w:r>
        <w:rPr>
          <w:lang w:val="en-US"/>
        </w:rPr>
        <w:t xml:space="preserve">The lands border existing residential dwellings to the south/southwest. Existing residential dwellings are located along Jamestown Road and McKee Avenue, with a mix of commercial and residential uses along St Margaret’s Road.  </w:t>
      </w:r>
      <w:r w:rsidRPr="0010767F">
        <w:rPr>
          <w:lang w:val="en-US"/>
        </w:rPr>
        <w:t>Charlestown Shopping Centre is loca</w:t>
      </w:r>
      <w:r>
        <w:rPr>
          <w:lang w:val="en-US"/>
        </w:rPr>
        <w:t>ted to the northwest of the lands</w:t>
      </w:r>
      <w:r w:rsidRPr="0010767F">
        <w:rPr>
          <w:lang w:val="en-US"/>
        </w:rPr>
        <w:t xml:space="preserve"> and the emerging preferred route option for the proposed Luas extension to</w:t>
      </w:r>
      <w:r>
        <w:rPr>
          <w:lang w:val="en-US"/>
        </w:rPr>
        <w:t xml:space="preserve"> Finglas will border the lands</w:t>
      </w:r>
      <w:r w:rsidRPr="0010767F">
        <w:rPr>
          <w:lang w:val="en-US"/>
        </w:rPr>
        <w:t xml:space="preserve">, along St Margaret’s Road, terminating at Charlestown. The proposed Core Bus Corridor from Finglas to the City Centre as part of the Bus Connects </w:t>
      </w:r>
      <w:r>
        <w:rPr>
          <w:lang w:val="en-US"/>
        </w:rPr>
        <w:t>project will also serve the lands</w:t>
      </w:r>
      <w:r w:rsidRPr="0010767F">
        <w:rPr>
          <w:lang w:val="en-US"/>
        </w:rPr>
        <w:t xml:space="preserve">, from the Finglas Road to the west. </w:t>
      </w:r>
    </w:p>
    <w:p w14:paraId="6F92A5A9" w14:textId="24FA7180" w:rsidR="005A61BD" w:rsidRDefault="000C5EB4" w:rsidP="005A61BD">
      <w:pPr>
        <w:rPr>
          <w:rFonts w:cstheme="minorHAnsi"/>
        </w:rPr>
      </w:pPr>
      <w:r>
        <w:rPr>
          <w:rFonts w:cstheme="minorHAnsi"/>
        </w:rPr>
        <w:t>The lands contain a</w:t>
      </w:r>
      <w:r w:rsidR="005A61BD" w:rsidRPr="0010767F">
        <w:rPr>
          <w:rFonts w:cstheme="minorHAnsi"/>
        </w:rPr>
        <w:t xml:space="preserve"> </w:t>
      </w:r>
      <w:r w:rsidR="005A61BD">
        <w:rPr>
          <w:rFonts w:cstheme="minorHAnsi"/>
        </w:rPr>
        <w:t xml:space="preserve">number of </w:t>
      </w:r>
      <w:r w:rsidR="005A61BD" w:rsidRPr="0010767F">
        <w:rPr>
          <w:rFonts w:cstheme="minorHAnsi"/>
        </w:rPr>
        <w:t>existing industrial estate</w:t>
      </w:r>
      <w:r w:rsidR="005A61BD">
        <w:rPr>
          <w:rFonts w:cstheme="minorHAnsi"/>
        </w:rPr>
        <w:t xml:space="preserve">s and a </w:t>
      </w:r>
      <w:r w:rsidR="005A61BD" w:rsidRPr="0010767F">
        <w:rPr>
          <w:rFonts w:cstheme="minorHAnsi"/>
        </w:rPr>
        <w:t xml:space="preserve">business park that is characterised by buildings/structures with large footprints with low-intensity employment uses.  The area also contains </w:t>
      </w:r>
      <w:r w:rsidR="005A61BD">
        <w:rPr>
          <w:rFonts w:cstheme="minorHAnsi"/>
        </w:rPr>
        <w:t xml:space="preserve">a number of </w:t>
      </w:r>
      <w:r w:rsidR="005A61BD" w:rsidRPr="0010767F">
        <w:rPr>
          <w:rFonts w:cstheme="minorHAnsi"/>
        </w:rPr>
        <w:t>vacan</w:t>
      </w:r>
      <w:r w:rsidR="005A61BD">
        <w:rPr>
          <w:rFonts w:cstheme="minorHAnsi"/>
        </w:rPr>
        <w:t>t sites</w:t>
      </w:r>
      <w:r w:rsidR="005A61BD" w:rsidRPr="0010767F">
        <w:rPr>
          <w:rFonts w:cstheme="minorHAnsi"/>
        </w:rPr>
        <w:t xml:space="preserve"> and has a poor relationship with the adjoining street network. There is </w:t>
      </w:r>
      <w:r w:rsidR="005A61BD">
        <w:rPr>
          <w:rFonts w:cstheme="minorHAnsi"/>
        </w:rPr>
        <w:t xml:space="preserve">poor </w:t>
      </w:r>
      <w:r w:rsidR="005A61BD" w:rsidRPr="0010767F">
        <w:rPr>
          <w:rFonts w:cstheme="minorHAnsi"/>
        </w:rPr>
        <w:t>permeability through th</w:t>
      </w:r>
      <w:r>
        <w:rPr>
          <w:rFonts w:cstheme="minorHAnsi"/>
        </w:rPr>
        <w:t>ese lands</w:t>
      </w:r>
      <w:r w:rsidR="005A61BD" w:rsidRPr="0010767F">
        <w:rPr>
          <w:rFonts w:cstheme="minorHAnsi"/>
        </w:rPr>
        <w:t>, with private/controlled access to individual premises</w:t>
      </w:r>
      <w:r w:rsidR="005A61BD">
        <w:rPr>
          <w:rFonts w:cstheme="minorHAnsi"/>
        </w:rPr>
        <w:t xml:space="preserve"> and across the lands</w:t>
      </w:r>
      <w:r w:rsidR="005A61BD" w:rsidRPr="0010767F">
        <w:rPr>
          <w:rFonts w:cstheme="minorHAnsi"/>
        </w:rPr>
        <w:t xml:space="preserve">. </w:t>
      </w:r>
    </w:p>
    <w:p w14:paraId="79B77CB8" w14:textId="04BF1C48" w:rsidR="00C90E60" w:rsidRDefault="00C90E60" w:rsidP="001E3652">
      <w:pPr>
        <w:rPr>
          <w:rFonts w:cstheme="minorHAnsi"/>
          <w:sz w:val="22"/>
          <w:szCs w:val="22"/>
          <w:lang w:val="en-US"/>
        </w:rPr>
      </w:pPr>
    </w:p>
    <w:p w14:paraId="5C4D71DD" w14:textId="12310995" w:rsidR="7AF04186" w:rsidRPr="006431E5" w:rsidRDefault="7AF04186" w:rsidP="001E3652">
      <w:pPr>
        <w:rPr>
          <w:rFonts w:cstheme="minorHAnsi"/>
          <w:b/>
          <w:sz w:val="22"/>
          <w:szCs w:val="22"/>
        </w:rPr>
      </w:pPr>
      <w:r w:rsidRPr="006431E5">
        <w:rPr>
          <w:rFonts w:cstheme="minorHAnsi"/>
          <w:b/>
          <w:sz w:val="22"/>
          <w:szCs w:val="22"/>
        </w:rPr>
        <w:t>Location Map</w:t>
      </w:r>
    </w:p>
    <w:p w14:paraId="674D0058" w14:textId="79790923" w:rsidR="6508F772" w:rsidRPr="006431E5" w:rsidRDefault="00B9272A" w:rsidP="001E3652">
      <w:pPr>
        <w:rPr>
          <w:rFonts w:cstheme="minorHAnsi"/>
          <w:sz w:val="22"/>
          <w:szCs w:val="22"/>
        </w:rPr>
      </w:pPr>
      <w:r>
        <w:rPr>
          <w:rFonts w:cstheme="minorHAnsi"/>
          <w:noProof/>
          <w:lang w:val="en-IE" w:eastAsia="en-IE"/>
        </w:rPr>
        <w:drawing>
          <wp:inline distT="0" distB="0" distL="0" distR="0" wp14:anchorId="1CD5C48E" wp14:editId="10F46871">
            <wp:extent cx="3042745" cy="4348093"/>
            <wp:effectExtent l="0" t="0" r="5715" b="0"/>
            <wp:docPr id="1" name="Picture 1" descr="Variatio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807" cy="4385336"/>
                    </a:xfrm>
                    <a:prstGeom prst="rect">
                      <a:avLst/>
                    </a:prstGeom>
                    <a:noFill/>
                    <a:ln>
                      <a:noFill/>
                    </a:ln>
                  </pic:spPr>
                </pic:pic>
              </a:graphicData>
            </a:graphic>
          </wp:inline>
        </w:drawing>
      </w:r>
    </w:p>
    <w:p w14:paraId="14E5A6FF" w14:textId="52F6D0AF" w:rsidR="3302212F" w:rsidRPr="006431E5" w:rsidRDefault="3302212F" w:rsidP="001E3652">
      <w:pPr>
        <w:pStyle w:val="Heading1"/>
        <w:rPr>
          <w:rFonts w:asciiTheme="minorHAnsi" w:eastAsiaTheme="minorEastAsia" w:hAnsiTheme="minorHAnsi" w:cstheme="minorHAnsi"/>
          <w:sz w:val="22"/>
          <w:szCs w:val="22"/>
        </w:rPr>
      </w:pPr>
      <w:bookmarkStart w:id="14" w:name="_Toc66806896"/>
      <w:r w:rsidRPr="006431E5">
        <w:rPr>
          <w:rFonts w:asciiTheme="minorHAnsi" w:eastAsiaTheme="minorEastAsia" w:hAnsiTheme="minorHAnsi" w:cstheme="minorHAnsi"/>
          <w:sz w:val="22"/>
          <w:szCs w:val="22"/>
        </w:rPr>
        <w:lastRenderedPageBreak/>
        <w:t>4.0 Purpose of the Proposed Variation</w:t>
      </w:r>
      <w:bookmarkEnd w:id="14"/>
    </w:p>
    <w:p w14:paraId="2886E373" w14:textId="2759EACB" w:rsidR="005A61BD" w:rsidRPr="005A61BD" w:rsidRDefault="005A61BD" w:rsidP="005A61BD">
      <w:pPr>
        <w:rPr>
          <w:rFonts w:cstheme="minorHAnsi"/>
        </w:rPr>
      </w:pPr>
      <w:r w:rsidRPr="005A61BD">
        <w:rPr>
          <w:rFonts w:cstheme="minorHAnsi"/>
        </w:rPr>
        <w:t xml:space="preserve">The purpose of this Proposed Variation is to change the land use zoning objective of the subject lands, from Land Use Zoning Objective Z6 (Employment/Enterprise) to Z14 (Strategic Development and Regeneration Areas), to </w:t>
      </w:r>
      <w:r w:rsidR="000C5EB4" w:rsidRPr="005A61BD">
        <w:rPr>
          <w:rFonts w:cstheme="minorHAnsi"/>
        </w:rPr>
        <w:t>fulfil</w:t>
      </w:r>
      <w:r w:rsidRPr="005A61BD">
        <w:rPr>
          <w:rFonts w:cstheme="minorHAnsi"/>
        </w:rPr>
        <w:t xml:space="preserve"> National and Regional planning objectives on responding to climate change, delivering compact development and sustainable urban growth. </w:t>
      </w:r>
    </w:p>
    <w:p w14:paraId="59D07E19" w14:textId="77777777" w:rsidR="005A61BD" w:rsidRPr="005A61BD" w:rsidRDefault="005A61BD" w:rsidP="005A61BD">
      <w:pPr>
        <w:keepNext/>
        <w:keepLines/>
        <w:spacing w:before="120" w:after="0" w:line="240" w:lineRule="auto"/>
        <w:outlineLvl w:val="1"/>
        <w:rPr>
          <w:rFonts w:cstheme="minorHAnsi"/>
          <w:color w:val="ED7D31" w:themeColor="accent2"/>
          <w:sz w:val="22"/>
          <w:szCs w:val="22"/>
        </w:rPr>
      </w:pPr>
    </w:p>
    <w:p w14:paraId="2E826C1C" w14:textId="77777777" w:rsidR="005A61BD" w:rsidRPr="00BD2055" w:rsidRDefault="005A61BD" w:rsidP="00BD2055">
      <w:pPr>
        <w:pStyle w:val="Heading2"/>
        <w:rPr>
          <w:sz w:val="22"/>
          <w:szCs w:val="22"/>
        </w:rPr>
      </w:pPr>
      <w:bookmarkStart w:id="15" w:name="_Toc66806897"/>
      <w:r w:rsidRPr="00BD2055">
        <w:rPr>
          <w:sz w:val="22"/>
          <w:szCs w:val="22"/>
        </w:rPr>
        <w:t>4.1 Policy Context</w:t>
      </w:r>
      <w:bookmarkEnd w:id="15"/>
    </w:p>
    <w:p w14:paraId="5C7A3EA5" w14:textId="77777777" w:rsidR="005A61BD" w:rsidRPr="005A61BD" w:rsidRDefault="005A61BD" w:rsidP="005A61BD">
      <w:pPr>
        <w:rPr>
          <w:rFonts w:cstheme="minorHAnsi"/>
        </w:rPr>
      </w:pPr>
      <w:r w:rsidRPr="005A61BD">
        <w:rPr>
          <w:rFonts w:cstheme="minorHAnsi"/>
        </w:rPr>
        <w:t xml:space="preserve">The </w:t>
      </w:r>
      <w:r w:rsidRPr="005A61BD">
        <w:rPr>
          <w:rFonts w:cstheme="minorHAnsi"/>
          <w:b/>
          <w:bCs/>
        </w:rPr>
        <w:t>National Planning Framework (NPF)</w:t>
      </w:r>
      <w:r w:rsidRPr="005A61BD">
        <w:rPr>
          <w:rFonts w:cstheme="minorHAnsi"/>
        </w:rPr>
        <w:t xml:space="preserve"> (Project Ireland 2040) states that at least 50% of all new homes for Dublin City and suburbs are required to be delivered within and adjoining its existing built-up footprint. To achieve this, the NPF identifies the reusing of large and small ‘brownfield’ land/infill sites, and underutilised lands at locations well served by existing and planned public transport. The NPF particularly highlights the need to focus on underutilised lands within the canals and the M50 ring. The proposed variation supports this policy position.</w:t>
      </w:r>
    </w:p>
    <w:p w14:paraId="58C21CED" w14:textId="77777777" w:rsidR="005A61BD" w:rsidRPr="005A61BD" w:rsidRDefault="005A61BD" w:rsidP="005A61BD">
      <w:pPr>
        <w:rPr>
          <w:rFonts w:cstheme="minorHAnsi"/>
        </w:rPr>
      </w:pPr>
      <w:r w:rsidRPr="005A61BD">
        <w:rPr>
          <w:rFonts w:cstheme="minorHAnsi"/>
        </w:rPr>
        <w:t xml:space="preserve">The </w:t>
      </w:r>
      <w:r w:rsidRPr="005A61BD">
        <w:rPr>
          <w:rFonts w:cstheme="minorHAnsi"/>
          <w:b/>
          <w:bCs/>
        </w:rPr>
        <w:t xml:space="preserve">Regional Spatial and Economic Strategy (RSES) </w:t>
      </w:r>
      <w:r w:rsidRPr="005A61BD">
        <w:rPr>
          <w:rFonts w:cstheme="minorHAnsi"/>
        </w:rPr>
        <w:t xml:space="preserve">for the Eastern and Midlands Region seeks the consolidation and re-intensification of infill, brownfield, and underutilised lands within Dublin City and its suburbs. 50% of all new homes within Dublin City and its suburbs are to be located in the existing built-up area. The RSES identifies a population target increase for Dublin City (DCC’s administrative area) of circa 100,000 people by 2031. To facilitate this growth the RSES also includes a </w:t>
      </w:r>
      <w:r w:rsidRPr="005A61BD">
        <w:rPr>
          <w:rFonts w:cstheme="minorHAnsi"/>
          <w:b/>
          <w:bCs/>
        </w:rPr>
        <w:t>Metropolitan Area Strategic Plan (MASP)</w:t>
      </w:r>
      <w:r w:rsidRPr="005A61BD">
        <w:rPr>
          <w:rFonts w:cstheme="minorHAnsi"/>
        </w:rPr>
        <w:t xml:space="preserve"> for Dublin. The MASP directs future growth to identified Strategic Development Areas located on existing and planned strategic transport corridors and anticipates future growth will also be accommodated on brownfield/infill development lands in the city. The proposed variation supports this policy position. </w:t>
      </w:r>
    </w:p>
    <w:p w14:paraId="29DC99E6" w14:textId="77777777" w:rsidR="005A61BD" w:rsidRPr="005A61BD" w:rsidRDefault="005A61BD" w:rsidP="005A61BD">
      <w:pPr>
        <w:rPr>
          <w:rFonts w:cstheme="minorHAnsi"/>
        </w:rPr>
      </w:pPr>
      <w:r w:rsidRPr="005A61BD">
        <w:rPr>
          <w:rFonts w:cstheme="minorHAnsi"/>
        </w:rPr>
        <w:t xml:space="preserve">The </w:t>
      </w:r>
      <w:r w:rsidRPr="005A61BD">
        <w:rPr>
          <w:rFonts w:cstheme="minorHAnsi"/>
          <w:b/>
          <w:bCs/>
        </w:rPr>
        <w:t xml:space="preserve">National Transport Authority’s Transport Strategy for the Greater Dublin Area 2016-2035 </w:t>
      </w:r>
      <w:r w:rsidRPr="005A61BD">
        <w:rPr>
          <w:rFonts w:cstheme="minorHAnsi"/>
        </w:rPr>
        <w:t xml:space="preserve">provides a framework for developing a sustainable transport network. Three key public transportation projects for Dublin City include: </w:t>
      </w:r>
    </w:p>
    <w:p w14:paraId="0F08D251" w14:textId="77777777" w:rsidR="005A61BD" w:rsidRPr="005A61BD" w:rsidRDefault="005A61BD" w:rsidP="005A61BD">
      <w:pPr>
        <w:numPr>
          <w:ilvl w:val="0"/>
          <w:numId w:val="3"/>
        </w:numPr>
        <w:contextualSpacing/>
        <w:rPr>
          <w:rFonts w:cstheme="minorHAnsi"/>
          <w:b/>
          <w:bCs/>
        </w:rPr>
      </w:pPr>
      <w:proofErr w:type="spellStart"/>
      <w:r w:rsidRPr="005A61BD">
        <w:rPr>
          <w:rFonts w:cstheme="minorHAnsi"/>
          <w:b/>
          <w:bCs/>
        </w:rPr>
        <w:t>Finglas</w:t>
      </w:r>
      <w:proofErr w:type="spellEnd"/>
      <w:r w:rsidRPr="005A61BD">
        <w:rPr>
          <w:rFonts w:cstheme="minorHAnsi"/>
        </w:rPr>
        <w:t xml:space="preserve"> </w:t>
      </w:r>
      <w:r w:rsidRPr="005A61BD">
        <w:rPr>
          <w:rFonts w:cstheme="minorHAnsi"/>
          <w:b/>
          <w:bCs/>
        </w:rPr>
        <w:t>Luas</w:t>
      </w:r>
      <w:r w:rsidRPr="005A61BD">
        <w:rPr>
          <w:rFonts w:cstheme="minorHAnsi"/>
        </w:rPr>
        <w:t xml:space="preserve">– the extension of the green line Luas from </w:t>
      </w:r>
      <w:proofErr w:type="spellStart"/>
      <w:r w:rsidRPr="005A61BD">
        <w:rPr>
          <w:rFonts w:cstheme="minorHAnsi"/>
        </w:rPr>
        <w:t>Broombridge</w:t>
      </w:r>
      <w:proofErr w:type="spellEnd"/>
      <w:r w:rsidRPr="005A61BD">
        <w:rPr>
          <w:rFonts w:cstheme="minorHAnsi"/>
        </w:rPr>
        <w:t xml:space="preserve"> to Charlestown, to the northwest of the Jamestown Z6 land bank. </w:t>
      </w:r>
    </w:p>
    <w:p w14:paraId="60792505" w14:textId="77777777" w:rsidR="005A61BD" w:rsidRPr="005A61BD" w:rsidRDefault="005A61BD" w:rsidP="005A61BD">
      <w:pPr>
        <w:numPr>
          <w:ilvl w:val="0"/>
          <w:numId w:val="3"/>
        </w:numPr>
        <w:spacing w:after="0"/>
        <w:contextualSpacing/>
        <w:rPr>
          <w:rFonts w:cstheme="minorHAnsi"/>
        </w:rPr>
      </w:pPr>
      <w:r w:rsidRPr="005A61BD">
        <w:rPr>
          <w:rFonts w:cstheme="minorHAnsi"/>
          <w:b/>
          <w:bCs/>
        </w:rPr>
        <w:t>Bus Connects</w:t>
      </w:r>
      <w:r w:rsidRPr="005A61BD">
        <w:rPr>
          <w:rFonts w:cstheme="minorHAnsi"/>
        </w:rPr>
        <w:t xml:space="preserve"> – enhancement of Dublin's bus network along with several identified Core Bus Corridors, including </w:t>
      </w:r>
      <w:proofErr w:type="spellStart"/>
      <w:r w:rsidRPr="005A61BD">
        <w:rPr>
          <w:rFonts w:cstheme="minorHAnsi"/>
        </w:rPr>
        <w:t>Finglas</w:t>
      </w:r>
      <w:proofErr w:type="spellEnd"/>
      <w:r w:rsidRPr="005A61BD">
        <w:rPr>
          <w:rFonts w:cstheme="minorHAnsi"/>
        </w:rPr>
        <w:t xml:space="preserve">. </w:t>
      </w:r>
    </w:p>
    <w:p w14:paraId="228E287B" w14:textId="77777777" w:rsidR="005A61BD" w:rsidRPr="005A61BD" w:rsidRDefault="005A61BD" w:rsidP="005A61BD">
      <w:pPr>
        <w:numPr>
          <w:ilvl w:val="0"/>
          <w:numId w:val="3"/>
        </w:numPr>
        <w:contextualSpacing/>
        <w:rPr>
          <w:rFonts w:cstheme="minorHAnsi"/>
          <w:b/>
          <w:bCs/>
        </w:rPr>
      </w:pPr>
      <w:proofErr w:type="spellStart"/>
      <w:r w:rsidRPr="005A61BD">
        <w:rPr>
          <w:rFonts w:cstheme="minorHAnsi"/>
          <w:b/>
          <w:bCs/>
        </w:rPr>
        <w:t>Metrolink</w:t>
      </w:r>
      <w:proofErr w:type="spellEnd"/>
      <w:r w:rsidRPr="005A61BD">
        <w:rPr>
          <w:rFonts w:cstheme="minorHAnsi"/>
        </w:rPr>
        <w:t xml:space="preserve"> – proposed rail link from the City Centre to Dublin Airport / Swords. Both the </w:t>
      </w:r>
      <w:proofErr w:type="spellStart"/>
      <w:r w:rsidRPr="005A61BD">
        <w:rPr>
          <w:rFonts w:cstheme="minorHAnsi"/>
        </w:rPr>
        <w:t>Finglas</w:t>
      </w:r>
      <w:proofErr w:type="spellEnd"/>
      <w:r w:rsidRPr="005A61BD">
        <w:rPr>
          <w:rFonts w:cstheme="minorHAnsi"/>
        </w:rPr>
        <w:t xml:space="preserve"> Luas and </w:t>
      </w:r>
      <w:proofErr w:type="spellStart"/>
      <w:r w:rsidRPr="005A61BD">
        <w:rPr>
          <w:rFonts w:cstheme="minorHAnsi"/>
        </w:rPr>
        <w:t>Finglas</w:t>
      </w:r>
      <w:proofErr w:type="spellEnd"/>
      <w:r w:rsidRPr="005A61BD">
        <w:rPr>
          <w:rFonts w:cstheme="minorHAnsi"/>
        </w:rPr>
        <w:t xml:space="preserve"> Core Bus Corridor are being designed to integrate and interchange with </w:t>
      </w:r>
      <w:proofErr w:type="spellStart"/>
      <w:r w:rsidRPr="005A61BD">
        <w:rPr>
          <w:rFonts w:cstheme="minorHAnsi"/>
        </w:rPr>
        <w:t>Metrolink</w:t>
      </w:r>
      <w:proofErr w:type="spellEnd"/>
      <w:r w:rsidRPr="005A61BD">
        <w:rPr>
          <w:rFonts w:cstheme="minorHAnsi"/>
        </w:rPr>
        <w:t xml:space="preserve"> as part of a wider strategic transport network for Dublin. </w:t>
      </w:r>
    </w:p>
    <w:p w14:paraId="42B3AD3B" w14:textId="77777777" w:rsidR="005A61BD" w:rsidRPr="005A61BD" w:rsidRDefault="005A61BD" w:rsidP="005A61BD">
      <w:pPr>
        <w:rPr>
          <w:rFonts w:cstheme="minorHAnsi"/>
        </w:rPr>
      </w:pPr>
      <w:r w:rsidRPr="005A61BD">
        <w:rPr>
          <w:rFonts w:cstheme="minorHAnsi"/>
        </w:rPr>
        <w:t xml:space="preserve">The Proposed Variation supports and establishes a plan-led approach to maximising the development of the lands in line with significant State investment in the public transport infrastructure of the area. </w:t>
      </w:r>
    </w:p>
    <w:p w14:paraId="02099345" w14:textId="77777777" w:rsidR="005A61BD" w:rsidRPr="005A61BD" w:rsidRDefault="005A61BD" w:rsidP="005A61BD">
      <w:pPr>
        <w:rPr>
          <w:rFonts w:cstheme="minorHAnsi"/>
          <w:sz w:val="22"/>
          <w:szCs w:val="22"/>
        </w:rPr>
      </w:pPr>
    </w:p>
    <w:p w14:paraId="44636195" w14:textId="77777777" w:rsidR="005A61BD" w:rsidRPr="00BD2055" w:rsidRDefault="005A61BD" w:rsidP="00BD2055">
      <w:pPr>
        <w:pStyle w:val="Heading2"/>
        <w:rPr>
          <w:sz w:val="22"/>
          <w:szCs w:val="22"/>
        </w:rPr>
      </w:pPr>
      <w:bookmarkStart w:id="16" w:name="_Toc66806898"/>
      <w:r w:rsidRPr="00BD2055">
        <w:rPr>
          <w:sz w:val="22"/>
          <w:szCs w:val="22"/>
        </w:rPr>
        <w:t>4.2 Background</w:t>
      </w:r>
      <w:bookmarkEnd w:id="16"/>
    </w:p>
    <w:p w14:paraId="33A36EB8" w14:textId="77777777" w:rsidR="005A61BD" w:rsidRPr="005A61BD" w:rsidRDefault="005A61BD" w:rsidP="005A61BD">
      <w:r w:rsidRPr="005A61BD">
        <w:t xml:space="preserve">Following a review of the City’s employment / industrial lands in 2018/19, the Planning Department identified 82 land parcels with the potential to accommodate future housing and more intense land uses, within the existing built fabric of the City. Of these, 20 small to medium land banks were initially proposed for re-zoning by way of a Variation to the Dublin City Development Plan 2016-2022 (Proposed Variations No.’s 8 - 27). At the </w:t>
      </w:r>
      <w:r w:rsidRPr="005A61BD">
        <w:lastRenderedPageBreak/>
        <w:t xml:space="preserve">Dublin City Council monthly meeting held on 2nd March 2020 and continued 10th March 2020 a number of these Proposed Variations were adopted. </w:t>
      </w:r>
    </w:p>
    <w:p w14:paraId="1FDB4E4E" w14:textId="77777777" w:rsidR="005A61BD" w:rsidRPr="005A61BD" w:rsidRDefault="005A61BD" w:rsidP="005A61BD">
      <w:r w:rsidRPr="005A61BD">
        <w:t xml:space="preserve">The potential of the Jamestown Z6 land bank was identified in the 2018/19 study, having regard to the lands strategic location inside the M50 and adjacent to the proposed Luas extension to </w:t>
      </w:r>
      <w:proofErr w:type="spellStart"/>
      <w:r w:rsidRPr="005A61BD">
        <w:t>Finglas</w:t>
      </w:r>
      <w:proofErr w:type="spellEnd"/>
      <w:r w:rsidRPr="005A61BD">
        <w:t xml:space="preserve"> (</w:t>
      </w:r>
      <w:proofErr w:type="spellStart"/>
      <w:r w:rsidRPr="005A61BD">
        <w:t>Finglas</w:t>
      </w:r>
      <w:proofErr w:type="spellEnd"/>
      <w:r w:rsidRPr="005A61BD">
        <w:t xml:space="preserve"> Luas). The study recognised that this area represents well-connected but underutilized employment (Z6) zoned brownfield lands within the built-up area of the City with the potential to allow for more varied and intense mixed uses.</w:t>
      </w:r>
    </w:p>
    <w:p w14:paraId="3B57C86C" w14:textId="77777777" w:rsidR="005A61BD" w:rsidRPr="005A61BD" w:rsidRDefault="005A61BD" w:rsidP="005A61BD">
      <w:r w:rsidRPr="005A61BD">
        <w:t xml:space="preserve">Since March 2020, Dublin City Council has been in consultation with Transport Infrastructure Ireland (TII) and there is now greater certainty around the timeline and process for the delivery of the </w:t>
      </w:r>
      <w:proofErr w:type="spellStart"/>
      <w:r w:rsidRPr="005A61BD">
        <w:t>Finglas</w:t>
      </w:r>
      <w:proofErr w:type="spellEnd"/>
      <w:r w:rsidRPr="005A61BD">
        <w:t xml:space="preserve"> Luas. Furthermore, there has been ongoing engagement between Dublin City Council and the National Transport Authority (NTA) concerning the </w:t>
      </w:r>
      <w:proofErr w:type="spellStart"/>
      <w:r w:rsidRPr="005A61BD">
        <w:t>Finglas</w:t>
      </w:r>
      <w:proofErr w:type="spellEnd"/>
      <w:r w:rsidRPr="005A61BD">
        <w:t xml:space="preserve"> Core Bus Corridor as part of the Bus Connects project which is providing greater clarity in terms of the delivery of this public transport project. Also, there has been increased landowner interest in advancing the development of the lands. </w:t>
      </w:r>
    </w:p>
    <w:p w14:paraId="31B0B904" w14:textId="77777777" w:rsidR="005A61BD" w:rsidRPr="005A61BD" w:rsidRDefault="005A61BD" w:rsidP="005A61BD">
      <w:r w:rsidRPr="005A61BD">
        <w:t xml:space="preserve">As a result of this change in circumstances and having regard to the significance of the lands in achieving the National and Regional policy objectives set out in the NDF and RSES / MASP, it was considered appropriate to bring forward these lands for re-zoning from Z6 to Z14 subject to the requirement for a Masterplan based on guiding principles established for the SDRA and shown in the Framework Plan (Figure 38A) </w:t>
      </w:r>
    </w:p>
    <w:p w14:paraId="63B6A9DD" w14:textId="77777777" w:rsidR="005A61BD" w:rsidRPr="005A61BD" w:rsidRDefault="005A61BD" w:rsidP="005A61BD">
      <w:pPr>
        <w:rPr>
          <w:lang w:val="en-US"/>
        </w:rPr>
      </w:pPr>
      <w:r w:rsidRPr="005A61BD">
        <w:rPr>
          <w:lang w:val="en-US"/>
        </w:rPr>
        <w:t xml:space="preserve">Land Use Zoning Objective Z14 of the Dublin City Development Plan </w:t>
      </w:r>
      <w:r w:rsidRPr="005A61BD">
        <w:t>endeavours</w:t>
      </w:r>
      <w:r w:rsidRPr="005A61BD">
        <w:rPr>
          <w:lang w:val="en-US"/>
        </w:rPr>
        <w:t xml:space="preserve"> “To seek the social, economic and physical development and/or rejuvenation of an area with mixed-use, of which residential and 'Z6' would be the predominant uses”. Chapter 15 of the Dublin City Development Plan identifies several SDRAs and sets out the guiding principles for their development. SDRAs are capable of delivering significant quanta of homes and employment for the City, with many situated within the existing built environment on</w:t>
      </w:r>
      <w:r w:rsidRPr="005A61BD">
        <w:t xml:space="preserve"> underutilised</w:t>
      </w:r>
      <w:r w:rsidRPr="005A61BD">
        <w:rPr>
          <w:lang w:val="en-US"/>
        </w:rPr>
        <w:t xml:space="preserve"> or brownfield sites. Finglas is currently designated a Key District Centre (KDC) in the Dublin City Development Plan. KDCs represent the top-tier of urban </w:t>
      </w:r>
      <w:proofErr w:type="spellStart"/>
      <w:r w:rsidRPr="005A61BD">
        <w:rPr>
          <w:lang w:val="en-US"/>
        </w:rPr>
        <w:t>centres</w:t>
      </w:r>
      <w:proofErr w:type="spellEnd"/>
      <w:r w:rsidRPr="005A61BD">
        <w:rPr>
          <w:lang w:val="en-US"/>
        </w:rPr>
        <w:t xml:space="preserve"> outside the City Centre and a number of these form part of the larger SDRAs. KDCs act as strong spatial hubs for development in the suburbs. </w:t>
      </w:r>
    </w:p>
    <w:p w14:paraId="719F7433" w14:textId="77777777" w:rsidR="005A61BD" w:rsidRPr="005A61BD" w:rsidRDefault="005A61BD" w:rsidP="005A61BD">
      <w:pPr>
        <w:rPr>
          <w:lang w:val="en-US"/>
        </w:rPr>
      </w:pPr>
      <w:r w:rsidRPr="005A61BD">
        <w:rPr>
          <w:lang w:val="en-US"/>
        </w:rPr>
        <w:t>Therefore, the rationale for this Variation is as follows:</w:t>
      </w:r>
    </w:p>
    <w:p w14:paraId="0D39BE78" w14:textId="77777777" w:rsidR="005A61BD" w:rsidRPr="005A61BD" w:rsidRDefault="005A61BD" w:rsidP="000C5EB4">
      <w:pPr>
        <w:pStyle w:val="ListParagraph"/>
        <w:numPr>
          <w:ilvl w:val="0"/>
          <w:numId w:val="25"/>
        </w:numPr>
      </w:pPr>
      <w:r w:rsidRPr="005A61BD">
        <w:t>To provide for more varied and intense mixed uses of these existing low-density mono use brownfield urban lands within the Dublin Metropolitan Area. This Variation supports the</w:t>
      </w:r>
      <w:r w:rsidRPr="000C5EB4">
        <w:rPr>
          <w:lang w:val="en-US"/>
        </w:rPr>
        <w:t xml:space="preserve"> National and Regional planning objectives set out in the NPF and RSES / MASP by </w:t>
      </w:r>
      <w:r w:rsidRPr="005A61BD">
        <w:t xml:space="preserve">supporting the area regeneration to deliver a compact and sustainable urban form at this location, to achieve the sustainable use of scarce urban land, and to respond to climate change. </w:t>
      </w:r>
    </w:p>
    <w:p w14:paraId="7B4CB178" w14:textId="77777777" w:rsidR="005A61BD" w:rsidRPr="000C5EB4" w:rsidRDefault="005A61BD" w:rsidP="000C5EB4">
      <w:pPr>
        <w:pStyle w:val="ListParagraph"/>
        <w:numPr>
          <w:ilvl w:val="0"/>
          <w:numId w:val="25"/>
        </w:numPr>
        <w:rPr>
          <w:lang w:val="en-US"/>
        </w:rPr>
      </w:pPr>
      <w:r w:rsidRPr="000C5EB4">
        <w:rPr>
          <w:lang w:val="en-US"/>
        </w:rPr>
        <w:t>To</w:t>
      </w:r>
      <w:r w:rsidRPr="005A61BD">
        <w:t xml:space="preserve"> maximise</w:t>
      </w:r>
      <w:r w:rsidRPr="000C5EB4">
        <w:rPr>
          <w:lang w:val="en-US"/>
        </w:rPr>
        <w:t xml:space="preserve"> the potential of</w:t>
      </w:r>
      <w:r w:rsidRPr="005A61BD">
        <w:t xml:space="preserve"> a well-connected but underutilised</w:t>
      </w:r>
      <w:r w:rsidRPr="000C5EB4">
        <w:rPr>
          <w:lang w:val="en-US"/>
        </w:rPr>
        <w:t xml:space="preserve"> brownfield low-intensity employment land, situated within the existing built fabric of the City and adjacent to the proposed Luas green line extension to Finglas, and proposed Finglas Core Bus Corridor, as set out in the National and Regional planning objectives in the NPF and RSES / MASP.</w:t>
      </w:r>
    </w:p>
    <w:p w14:paraId="48414B6B" w14:textId="77777777" w:rsidR="005A61BD" w:rsidRPr="000C5EB4" w:rsidRDefault="005A61BD" w:rsidP="000C5EB4">
      <w:pPr>
        <w:pStyle w:val="ListParagraph"/>
        <w:numPr>
          <w:ilvl w:val="0"/>
          <w:numId w:val="25"/>
        </w:numPr>
        <w:rPr>
          <w:lang w:val="en-US"/>
        </w:rPr>
      </w:pPr>
      <w:r w:rsidRPr="000C5EB4">
        <w:rPr>
          <w:lang w:val="en-US"/>
        </w:rPr>
        <w:t>To support the economic</w:t>
      </w:r>
      <w:r w:rsidRPr="005A61BD">
        <w:t xml:space="preserve"> revitalisation</w:t>
      </w:r>
      <w:r w:rsidRPr="000C5EB4">
        <w:rPr>
          <w:lang w:val="en-US"/>
        </w:rPr>
        <w:t xml:space="preserve"> of Finglas village through the creation of a cohesive urban framework and guiding principles, by way of a new SDRA designation for the proposed Z14 lands, to ensure that the future development of the lands occurs in a coordinated and sustainable manner that can act as a catalyst to regenerate the village. </w:t>
      </w:r>
    </w:p>
    <w:p w14:paraId="0BF72768" w14:textId="77777777" w:rsidR="005A61BD" w:rsidRPr="005A61BD" w:rsidRDefault="005A61BD" w:rsidP="005A61BD">
      <w:r w:rsidRPr="005A61BD">
        <w:lastRenderedPageBreak/>
        <w:t xml:space="preserve">The lands proposed for re-zoning comprise a total of c. 43.11 hectares. Assuming a target density of 100 units per hectare and assuming that 50% of the land would be in residential use, this land bank has the potential to deliver an indicative c. 2,220 residential units. It is anticipated that the remaining land would be comprised of 30% employment/commercial, 10% public open space, and 10% social/community/education. </w:t>
      </w:r>
    </w:p>
    <w:p w14:paraId="23AF8AF6" w14:textId="77777777" w:rsidR="005A61BD" w:rsidRPr="005A61BD" w:rsidRDefault="005A61BD" w:rsidP="005A61BD">
      <w:r w:rsidRPr="005A61BD">
        <w:t xml:space="preserve">In preparing for the proposed change of zoning to allow for such a significant area of potential new residential units, the impact of this variation has been examined in relation to the Core Strategy.  Whilst the volume of land proposed provides for approximately 2,200 units, it is not expected that any significant portion of this will be delivered during the lifetime of the current City Development Plan; though it is possible that a number of permission applications will be made within this time.  </w:t>
      </w:r>
    </w:p>
    <w:p w14:paraId="2072D277" w14:textId="77777777" w:rsidR="005A61BD" w:rsidRPr="005A61BD" w:rsidRDefault="005A61BD" w:rsidP="005A61BD">
      <w:r w:rsidRPr="005A61BD">
        <w:t>In analysing the delivery of the sub-areas for residential development (Table E), it is clear that a number of these have yet to reach their full capacity and some are not yet progressed nor likely to be by the end of the life of the current Development Plan.</w:t>
      </w:r>
      <w:r w:rsidRPr="005A61BD">
        <w:rPr>
          <w:rFonts w:cstheme="minorHAnsi"/>
          <w:vertAlign w:val="superscript"/>
        </w:rPr>
        <w:footnoteReference w:id="1"/>
      </w:r>
      <w:r w:rsidRPr="005A61BD">
        <w:t xml:space="preserve">  It is therefore considered that the additional zoning provided will remain consistent with the Core Strategy and it’s defining principle of achieving a compact sustainable mixed use growth with the existing envelope of the city, supported by high quality public transport and connectivity.  </w:t>
      </w:r>
    </w:p>
    <w:p w14:paraId="7000E390" w14:textId="77777777" w:rsidR="005A61BD" w:rsidRPr="005A61BD" w:rsidRDefault="005A61BD" w:rsidP="005A61BD">
      <w:r w:rsidRPr="005A61BD">
        <w:t xml:space="preserve">Delivery of SDRA housing within a brownfield, infill or regeneration context is complex due to its context, and delivery of housing often extends across a series of Development Plans.  This variation and other SDRAs are designated within that long term horizon.  The capacity provided by these lands will aid the Council in meeting </w:t>
      </w:r>
      <w:proofErr w:type="spellStart"/>
      <w:r w:rsidRPr="005A61BD">
        <w:t>it’s</w:t>
      </w:r>
      <w:proofErr w:type="spellEnd"/>
      <w:r w:rsidRPr="005A61BD">
        <w:t xml:space="preserve"> future housing targets in tandem with the other SDRA lands and it will be particularly relevant to the brownfield targets of the NPF. </w:t>
      </w:r>
    </w:p>
    <w:p w14:paraId="6D26FE53" w14:textId="77777777" w:rsidR="005A61BD" w:rsidRPr="005A61BD" w:rsidRDefault="005A61BD" w:rsidP="005A61BD">
      <w:r w:rsidRPr="005A61BD">
        <w:t xml:space="preserve">It is proposed to amend table C (page 22) to include the </w:t>
      </w:r>
      <w:proofErr w:type="spellStart"/>
      <w:r w:rsidRPr="005A61BD">
        <w:t>hectage</w:t>
      </w:r>
      <w:proofErr w:type="spellEnd"/>
      <w:r w:rsidRPr="005A61BD">
        <w:t xml:space="preserve"> as one of the “other zonings containing residential use”; thus increasing the size from 2043 to 2086 and the associated total from 6509 to 6552.  </w:t>
      </w:r>
    </w:p>
    <w:p w14:paraId="0BF7AF77" w14:textId="77777777" w:rsidR="005A61BD" w:rsidRPr="005A61BD" w:rsidRDefault="005A61BD" w:rsidP="005A61BD">
      <w:pPr>
        <w:rPr>
          <w:color w:val="000000" w:themeColor="text1"/>
          <w:lang w:val="en-US"/>
        </w:rPr>
      </w:pPr>
      <w:r w:rsidRPr="005A61BD">
        <w:rPr>
          <w:color w:val="000000" w:themeColor="text1"/>
          <w:lang w:val="en-US"/>
        </w:rPr>
        <w:t>It is also proposed to add Finglas SDRA to Table E (page 25) and amend the total  so that is reads:</w:t>
      </w:r>
    </w:p>
    <w:tbl>
      <w:tblPr>
        <w:tblStyle w:val="TableGrid"/>
        <w:tblW w:w="0" w:type="auto"/>
        <w:tblLook w:val="04A0" w:firstRow="1" w:lastRow="0" w:firstColumn="1" w:lastColumn="0" w:noHBand="0" w:noVBand="1"/>
        <w:tblCaption w:val="Amended Table E"/>
        <w:tblDescription w:val="Amended Table E to include SDRA 19"/>
      </w:tblPr>
      <w:tblGrid>
        <w:gridCol w:w="3005"/>
        <w:gridCol w:w="3005"/>
        <w:gridCol w:w="3006"/>
      </w:tblGrid>
      <w:tr w:rsidR="005A61BD" w:rsidRPr="005A61BD" w14:paraId="324DB63F" w14:textId="77777777" w:rsidTr="0070492C">
        <w:trPr>
          <w:tblHeader/>
        </w:trPr>
        <w:tc>
          <w:tcPr>
            <w:tcW w:w="3005" w:type="dxa"/>
          </w:tcPr>
          <w:p w14:paraId="38131EB4" w14:textId="77777777" w:rsidR="005A61BD" w:rsidRPr="005A61BD" w:rsidRDefault="005A61BD" w:rsidP="005A61BD">
            <w:pPr>
              <w:rPr>
                <w:rFonts w:cstheme="minorHAnsi"/>
                <w:color w:val="000000" w:themeColor="text1"/>
                <w:lang w:val="en-US"/>
              </w:rPr>
            </w:pPr>
            <w:r w:rsidRPr="005A61BD">
              <w:rPr>
                <w:rFonts w:cstheme="minorHAnsi"/>
                <w:color w:val="000000" w:themeColor="text1"/>
                <w:lang w:val="en-US"/>
              </w:rPr>
              <w:t>SDRA 19</w:t>
            </w:r>
          </w:p>
        </w:tc>
        <w:tc>
          <w:tcPr>
            <w:tcW w:w="3005" w:type="dxa"/>
          </w:tcPr>
          <w:p w14:paraId="508DBB41" w14:textId="77777777" w:rsidR="005A61BD" w:rsidRPr="005A61BD" w:rsidRDefault="005A61BD" w:rsidP="005A61BD">
            <w:pPr>
              <w:rPr>
                <w:rFonts w:cstheme="minorHAnsi"/>
                <w:color w:val="000000" w:themeColor="text1"/>
                <w:lang w:val="en-US"/>
              </w:rPr>
            </w:pPr>
            <w:r w:rsidRPr="005A61BD">
              <w:rPr>
                <w:rFonts w:cstheme="minorHAnsi"/>
                <w:color w:val="000000" w:themeColor="text1"/>
                <w:lang w:val="en-US"/>
              </w:rPr>
              <w:t>Finglas</w:t>
            </w:r>
          </w:p>
        </w:tc>
        <w:tc>
          <w:tcPr>
            <w:tcW w:w="3006" w:type="dxa"/>
          </w:tcPr>
          <w:p w14:paraId="68557A9D" w14:textId="77777777" w:rsidR="005A61BD" w:rsidRPr="005A61BD" w:rsidRDefault="005A61BD" w:rsidP="005A61BD">
            <w:pPr>
              <w:rPr>
                <w:rFonts w:cstheme="minorHAnsi"/>
                <w:color w:val="000000" w:themeColor="text1"/>
                <w:lang w:val="en-US"/>
              </w:rPr>
            </w:pPr>
            <w:r w:rsidRPr="005A61BD">
              <w:rPr>
                <w:rFonts w:cstheme="minorHAnsi"/>
                <w:color w:val="000000" w:themeColor="text1"/>
                <w:lang w:val="en-US"/>
              </w:rPr>
              <w:t>2,200</w:t>
            </w:r>
          </w:p>
        </w:tc>
      </w:tr>
      <w:tr w:rsidR="005A61BD" w:rsidRPr="005A61BD" w14:paraId="6B01532D" w14:textId="77777777" w:rsidTr="0070492C">
        <w:tc>
          <w:tcPr>
            <w:tcW w:w="3005" w:type="dxa"/>
          </w:tcPr>
          <w:p w14:paraId="6A55673A" w14:textId="77777777" w:rsidR="005A61BD" w:rsidRPr="005A61BD" w:rsidRDefault="005A61BD" w:rsidP="005A61BD">
            <w:pPr>
              <w:rPr>
                <w:rFonts w:cstheme="minorHAnsi"/>
                <w:color w:val="000000" w:themeColor="text1"/>
                <w:lang w:val="en-US"/>
              </w:rPr>
            </w:pPr>
          </w:p>
        </w:tc>
        <w:tc>
          <w:tcPr>
            <w:tcW w:w="3005" w:type="dxa"/>
          </w:tcPr>
          <w:p w14:paraId="6965FBD4" w14:textId="77777777" w:rsidR="005A61BD" w:rsidRPr="005A61BD" w:rsidRDefault="005A61BD" w:rsidP="005A61BD">
            <w:pPr>
              <w:rPr>
                <w:rFonts w:cstheme="minorHAnsi"/>
                <w:color w:val="000000" w:themeColor="text1"/>
                <w:lang w:val="en-US"/>
              </w:rPr>
            </w:pPr>
            <w:r w:rsidRPr="005A61BD">
              <w:rPr>
                <w:rFonts w:cstheme="minorHAnsi"/>
                <w:color w:val="000000" w:themeColor="text1"/>
                <w:lang w:val="en-US"/>
              </w:rPr>
              <w:t>Total</w:t>
            </w:r>
          </w:p>
        </w:tc>
        <w:tc>
          <w:tcPr>
            <w:tcW w:w="3006" w:type="dxa"/>
          </w:tcPr>
          <w:p w14:paraId="087AD31A" w14:textId="77777777" w:rsidR="005A61BD" w:rsidRPr="005A61BD" w:rsidRDefault="005A61BD" w:rsidP="005A61BD">
            <w:pPr>
              <w:rPr>
                <w:rFonts w:cstheme="minorHAnsi"/>
                <w:color w:val="000000" w:themeColor="text1"/>
                <w:lang w:val="en-US"/>
              </w:rPr>
            </w:pPr>
            <w:r w:rsidRPr="005A61BD">
              <w:rPr>
                <w:rFonts w:cstheme="minorHAnsi"/>
                <w:color w:val="000000" w:themeColor="text1"/>
                <w:lang w:val="en-US"/>
              </w:rPr>
              <w:t>54,500- 54,800.</w:t>
            </w:r>
          </w:p>
        </w:tc>
      </w:tr>
    </w:tbl>
    <w:p w14:paraId="2CE0D12C" w14:textId="77777777" w:rsidR="005A61BD" w:rsidRPr="005A61BD" w:rsidRDefault="005A61BD" w:rsidP="005A61BD"/>
    <w:p w14:paraId="38D81014" w14:textId="5D16FA82" w:rsidR="005A61BD" w:rsidRPr="00455C50" w:rsidRDefault="005A61BD" w:rsidP="005A61BD">
      <w:pPr>
        <w:contextualSpacing/>
        <w:rPr>
          <w:rFonts w:cstheme="minorHAnsi"/>
          <w:sz w:val="22"/>
          <w:szCs w:val="22"/>
        </w:rPr>
      </w:pPr>
    </w:p>
    <w:p w14:paraId="18530551" w14:textId="4C7F2EE5" w:rsidR="00587C2F" w:rsidRPr="00455C50" w:rsidRDefault="00587C2F" w:rsidP="00A21464">
      <w:pPr>
        <w:rPr>
          <w:rFonts w:cstheme="minorHAnsi"/>
          <w:sz w:val="22"/>
          <w:szCs w:val="22"/>
        </w:rPr>
      </w:pPr>
    </w:p>
    <w:p w14:paraId="7816B4E5" w14:textId="77777777" w:rsidR="005A61BD" w:rsidRDefault="005A61BD">
      <w:pPr>
        <w:jc w:val="left"/>
        <w:rPr>
          <w:rFonts w:cstheme="minorHAnsi"/>
          <w:color w:val="262626" w:themeColor="text1" w:themeTint="D9"/>
          <w:sz w:val="22"/>
          <w:szCs w:val="22"/>
        </w:rPr>
      </w:pPr>
      <w:r>
        <w:rPr>
          <w:rFonts w:cstheme="minorHAnsi"/>
          <w:sz w:val="22"/>
          <w:szCs w:val="22"/>
        </w:rPr>
        <w:br w:type="page"/>
      </w:r>
    </w:p>
    <w:p w14:paraId="3DDE5B56" w14:textId="17DF99A9" w:rsidR="3302212F" w:rsidRPr="006431E5" w:rsidRDefault="003F5580" w:rsidP="001E3652">
      <w:pPr>
        <w:pStyle w:val="Heading1"/>
        <w:rPr>
          <w:rFonts w:asciiTheme="minorHAnsi" w:eastAsiaTheme="minorEastAsia" w:hAnsiTheme="minorHAnsi" w:cstheme="minorHAnsi"/>
          <w:sz w:val="22"/>
          <w:szCs w:val="22"/>
        </w:rPr>
      </w:pPr>
      <w:bookmarkStart w:id="17" w:name="_Toc66806899"/>
      <w:r w:rsidRPr="006431E5">
        <w:rPr>
          <w:rFonts w:asciiTheme="minorHAnsi" w:eastAsiaTheme="minorEastAsia" w:hAnsiTheme="minorHAnsi" w:cstheme="minorHAnsi"/>
          <w:sz w:val="22"/>
          <w:szCs w:val="22"/>
        </w:rPr>
        <w:lastRenderedPageBreak/>
        <w:t>5.0 Requirements</w:t>
      </w:r>
      <w:bookmarkEnd w:id="17"/>
    </w:p>
    <w:p w14:paraId="1C1498B3" w14:textId="7303E724" w:rsidR="603DEA00" w:rsidRPr="006431E5" w:rsidRDefault="603DEA00" w:rsidP="001E3652">
      <w:pPr>
        <w:rPr>
          <w:rFonts w:cstheme="minorHAnsi"/>
          <w:sz w:val="22"/>
          <w:szCs w:val="22"/>
          <w:lang w:val="en-IE"/>
        </w:rPr>
      </w:pPr>
      <w:r w:rsidRPr="006431E5">
        <w:rPr>
          <w:rFonts w:cstheme="minorHAnsi"/>
          <w:sz w:val="22"/>
          <w:szCs w:val="22"/>
          <w:lang w:val="en-IE"/>
        </w:rPr>
        <w:t xml:space="preserve">In </w:t>
      </w:r>
      <w:r w:rsidR="1060A0B3" w:rsidRPr="006431E5">
        <w:rPr>
          <w:rFonts w:cstheme="minorHAnsi"/>
          <w:sz w:val="22"/>
          <w:szCs w:val="22"/>
          <w:lang w:val="en-IE"/>
        </w:rPr>
        <w:t>accordance with the</w:t>
      </w:r>
      <w:r w:rsidRPr="006431E5">
        <w:rPr>
          <w:rFonts w:cstheme="minorHAnsi"/>
          <w:sz w:val="22"/>
          <w:szCs w:val="22"/>
          <w:lang w:val="en-IE"/>
        </w:rPr>
        <w:t xml:space="preserve"> Planning and Development (Strategic Environmental Assessment) Regulations 2004-2011 it is mandatory to undertake </w:t>
      </w:r>
      <w:r w:rsidR="04866EB7" w:rsidRPr="006431E5">
        <w:rPr>
          <w:rFonts w:cstheme="minorHAnsi"/>
          <w:sz w:val="22"/>
          <w:szCs w:val="22"/>
          <w:lang w:val="en-IE"/>
        </w:rPr>
        <w:t xml:space="preserve">a </w:t>
      </w:r>
      <w:r w:rsidRPr="006431E5">
        <w:rPr>
          <w:rFonts w:cstheme="minorHAnsi"/>
          <w:sz w:val="22"/>
          <w:szCs w:val="22"/>
          <w:lang w:val="en-IE"/>
        </w:rPr>
        <w:t xml:space="preserve">screening process to determine whether or not a Strategic Environmental Assessment as set out in Article 13K of the </w:t>
      </w:r>
      <w:r w:rsidR="7D27A87F" w:rsidRPr="006431E5">
        <w:rPr>
          <w:rFonts w:cstheme="minorHAnsi"/>
          <w:sz w:val="22"/>
          <w:szCs w:val="22"/>
          <w:lang w:val="en-IE"/>
        </w:rPr>
        <w:t>aforem</w:t>
      </w:r>
      <w:r w:rsidR="7021DBF5" w:rsidRPr="006431E5">
        <w:rPr>
          <w:rFonts w:cstheme="minorHAnsi"/>
          <w:sz w:val="22"/>
          <w:szCs w:val="22"/>
          <w:lang w:val="en-IE"/>
        </w:rPr>
        <w:t>e</w:t>
      </w:r>
      <w:r w:rsidR="7D27A87F" w:rsidRPr="006431E5">
        <w:rPr>
          <w:rFonts w:cstheme="minorHAnsi"/>
          <w:sz w:val="22"/>
          <w:szCs w:val="22"/>
          <w:lang w:val="en-IE"/>
        </w:rPr>
        <w:t xml:space="preserve">ntioned </w:t>
      </w:r>
      <w:r w:rsidRPr="006431E5">
        <w:rPr>
          <w:rFonts w:cstheme="minorHAnsi"/>
          <w:sz w:val="22"/>
          <w:szCs w:val="22"/>
          <w:lang w:val="en-IE"/>
        </w:rPr>
        <w:t>Regulations</w:t>
      </w:r>
      <w:r w:rsidR="15402128" w:rsidRPr="006431E5">
        <w:rPr>
          <w:rFonts w:cstheme="minorHAnsi"/>
          <w:sz w:val="22"/>
          <w:szCs w:val="22"/>
          <w:lang w:val="en-IE"/>
        </w:rPr>
        <w:t xml:space="preserve"> is required</w:t>
      </w:r>
      <w:r w:rsidRPr="006431E5">
        <w:rPr>
          <w:rFonts w:cstheme="minorHAnsi"/>
          <w:sz w:val="22"/>
          <w:szCs w:val="22"/>
          <w:lang w:val="en-IE"/>
        </w:rPr>
        <w:t>.  An assessment of the proposed variation in terms of the criteria set out in Schedule 2A of the Regulations is set out below.</w:t>
      </w:r>
    </w:p>
    <w:p w14:paraId="6A9BD256" w14:textId="338D348C" w:rsidR="603DEA00" w:rsidRPr="006431E5" w:rsidRDefault="603DEA00" w:rsidP="001E3652">
      <w:pPr>
        <w:rPr>
          <w:rFonts w:cstheme="minorHAnsi"/>
          <w:b/>
          <w:sz w:val="22"/>
          <w:szCs w:val="22"/>
        </w:rPr>
      </w:pPr>
      <w:r w:rsidRPr="006431E5">
        <w:rPr>
          <w:rFonts w:cstheme="minorHAnsi"/>
          <w:b/>
          <w:sz w:val="22"/>
          <w:szCs w:val="22"/>
        </w:rPr>
        <w:t>ASSESSMENT IN TERMS OF SCHEDULE 2A OF THE PLANNING AND DEVELOPMENT (STRATEGIC ENVIRONMENTAL ASSESSMENT) REGULATIONS 2004-2011</w:t>
      </w:r>
    </w:p>
    <w:tbl>
      <w:tblPr>
        <w:tblW w:w="0" w:type="auto"/>
        <w:tblLayout w:type="fixed"/>
        <w:tblLook w:val="00A0" w:firstRow="1" w:lastRow="0" w:firstColumn="1" w:lastColumn="0" w:noHBand="0" w:noVBand="0"/>
      </w:tblPr>
      <w:tblGrid>
        <w:gridCol w:w="9030"/>
      </w:tblGrid>
      <w:tr w:rsidR="6508F772" w:rsidRPr="006431E5" w14:paraId="12B09AC3" w14:textId="77777777" w:rsidTr="1B348B48">
        <w:tc>
          <w:tcPr>
            <w:tcW w:w="9030" w:type="dxa"/>
            <w:tcBorders>
              <w:top w:val="single" w:sz="6" w:space="0" w:color="auto"/>
              <w:left w:val="single" w:sz="6" w:space="0" w:color="auto"/>
              <w:bottom w:val="single" w:sz="6" w:space="0" w:color="auto"/>
              <w:right w:val="single" w:sz="6" w:space="0" w:color="auto"/>
            </w:tcBorders>
            <w:vAlign w:val="center"/>
          </w:tcPr>
          <w:p w14:paraId="280EE150" w14:textId="03F697BB" w:rsidR="6508F772" w:rsidRPr="00A65F57" w:rsidRDefault="03D94B68" w:rsidP="001E3652">
            <w:pPr>
              <w:rPr>
                <w:rFonts w:cstheme="minorHAnsi"/>
                <w:b/>
                <w:sz w:val="22"/>
                <w:szCs w:val="22"/>
              </w:rPr>
            </w:pPr>
            <w:r w:rsidRPr="006431E5">
              <w:rPr>
                <w:rFonts w:cstheme="minorHAnsi"/>
                <w:b/>
                <w:sz w:val="22"/>
                <w:szCs w:val="22"/>
              </w:rPr>
              <w:t>THE CHARACTERISTICS OF THE PLAN HAVING REGARD IN PARTICULAR TO:</w:t>
            </w:r>
          </w:p>
        </w:tc>
      </w:tr>
      <w:tr w:rsidR="6508F772" w:rsidRPr="006431E5" w14:paraId="4E49608B" w14:textId="77777777" w:rsidTr="1B348B48">
        <w:tc>
          <w:tcPr>
            <w:tcW w:w="9030" w:type="dxa"/>
            <w:tcBorders>
              <w:left w:val="single" w:sz="6" w:space="0" w:color="auto"/>
              <w:bottom w:val="single" w:sz="6" w:space="0" w:color="auto"/>
              <w:right w:val="single" w:sz="6" w:space="0" w:color="auto"/>
            </w:tcBorders>
            <w:vAlign w:val="center"/>
          </w:tcPr>
          <w:p w14:paraId="3C26038A" w14:textId="581B9B82" w:rsidR="6508F772" w:rsidRPr="006431E5" w:rsidRDefault="03D94B68" w:rsidP="001E3652">
            <w:pPr>
              <w:rPr>
                <w:rFonts w:cstheme="minorHAnsi"/>
                <w:b/>
                <w:sz w:val="22"/>
                <w:szCs w:val="22"/>
              </w:rPr>
            </w:pPr>
            <w:r w:rsidRPr="006431E5">
              <w:rPr>
                <w:rFonts w:cstheme="minorHAnsi"/>
                <w:b/>
                <w:sz w:val="22"/>
                <w:szCs w:val="22"/>
              </w:rPr>
              <w:t>The degree to which the plan sets a framework for projects and other activities, either with regard to the location, nature, size and operating conditions, or by allocating resources;</w:t>
            </w:r>
          </w:p>
          <w:p w14:paraId="33BBC36F" w14:textId="6E05E2B1" w:rsidR="00884DF7" w:rsidRDefault="00884DF7" w:rsidP="00884DF7">
            <w:pPr>
              <w:rPr>
                <w:rFonts w:cstheme="minorHAnsi"/>
                <w:sz w:val="22"/>
                <w:szCs w:val="22"/>
              </w:rPr>
            </w:pPr>
            <w:r w:rsidRPr="006431E5">
              <w:rPr>
                <w:rFonts w:cstheme="minorHAnsi"/>
                <w:sz w:val="22"/>
                <w:szCs w:val="22"/>
              </w:rPr>
              <w:t xml:space="preserve">It is proposed to vary the Development Plan, </w:t>
            </w:r>
            <w:r>
              <w:rPr>
                <w:rFonts w:cstheme="minorHAnsi"/>
                <w:sz w:val="22"/>
                <w:szCs w:val="22"/>
              </w:rPr>
              <w:t xml:space="preserve">by changing the </w:t>
            </w:r>
            <w:r w:rsidRPr="006431E5">
              <w:rPr>
                <w:rFonts w:cstheme="minorHAnsi"/>
                <w:sz w:val="22"/>
                <w:szCs w:val="22"/>
              </w:rPr>
              <w:t xml:space="preserve">Land Use Zoning Objective </w:t>
            </w:r>
            <w:r>
              <w:rPr>
                <w:rFonts w:cstheme="minorHAnsi"/>
                <w:sz w:val="22"/>
                <w:szCs w:val="22"/>
              </w:rPr>
              <w:t xml:space="preserve">of the subject </w:t>
            </w:r>
            <w:r w:rsidR="005A61BD">
              <w:rPr>
                <w:rFonts w:cstheme="minorHAnsi"/>
                <w:sz w:val="22"/>
                <w:szCs w:val="22"/>
              </w:rPr>
              <w:t>lands</w:t>
            </w:r>
            <w:r>
              <w:rPr>
                <w:rFonts w:cstheme="minorHAnsi"/>
                <w:sz w:val="22"/>
                <w:szCs w:val="22"/>
              </w:rPr>
              <w:t xml:space="preserve"> from </w:t>
            </w:r>
            <w:r w:rsidRPr="006431E5">
              <w:rPr>
                <w:rFonts w:cstheme="minorHAnsi"/>
                <w:sz w:val="22"/>
                <w:szCs w:val="22"/>
              </w:rPr>
              <w:t xml:space="preserve">Z6 </w:t>
            </w:r>
            <w:r>
              <w:rPr>
                <w:rFonts w:cstheme="minorHAnsi"/>
                <w:sz w:val="22"/>
                <w:szCs w:val="22"/>
              </w:rPr>
              <w:t xml:space="preserve">to Z14 and the designation of the </w:t>
            </w:r>
            <w:r w:rsidR="005A61BD">
              <w:rPr>
                <w:rFonts w:cstheme="minorHAnsi"/>
                <w:sz w:val="22"/>
                <w:szCs w:val="22"/>
              </w:rPr>
              <w:t>lands</w:t>
            </w:r>
            <w:r>
              <w:rPr>
                <w:rFonts w:cstheme="minorHAnsi"/>
                <w:sz w:val="22"/>
                <w:szCs w:val="22"/>
              </w:rPr>
              <w:t xml:space="preserve"> as a new Strategic Development and Regeneration Area (SDRA), as outlined above. The rationale for the proposed variation (as set out above) is: </w:t>
            </w:r>
          </w:p>
          <w:p w14:paraId="5B52E85B" w14:textId="5F9AAA7B" w:rsidR="00884DF7" w:rsidRDefault="00884DF7" w:rsidP="00884DF7">
            <w:pPr>
              <w:pStyle w:val="ListParagraph"/>
              <w:numPr>
                <w:ilvl w:val="0"/>
                <w:numId w:val="19"/>
              </w:numPr>
              <w:rPr>
                <w:rFonts w:cstheme="minorHAnsi"/>
              </w:rPr>
            </w:pPr>
            <w:r w:rsidRPr="00884DF7">
              <w:rPr>
                <w:rFonts w:cstheme="minorHAnsi"/>
              </w:rPr>
              <w:t>To provide for more varied and intense mixed uses of an existing low-density mono use brownfield u</w:t>
            </w:r>
            <w:r w:rsidR="005A61BD">
              <w:rPr>
                <w:rFonts w:cstheme="minorHAnsi"/>
              </w:rPr>
              <w:t>rban land</w:t>
            </w:r>
            <w:r w:rsidRPr="00884DF7">
              <w:rPr>
                <w:rFonts w:cstheme="minorHAnsi"/>
              </w:rPr>
              <w:t xml:space="preserve"> with</w:t>
            </w:r>
            <w:r>
              <w:rPr>
                <w:rFonts w:cstheme="minorHAnsi"/>
              </w:rPr>
              <w:t xml:space="preserve">in the Dublin Metropolitan Area in support of National and Regional planning objectives and in response to climate change. </w:t>
            </w:r>
          </w:p>
          <w:p w14:paraId="655835CD" w14:textId="6C340B97" w:rsidR="00884DF7" w:rsidRPr="00884DF7" w:rsidRDefault="00884DF7" w:rsidP="00884DF7">
            <w:pPr>
              <w:pStyle w:val="ListParagraph"/>
              <w:numPr>
                <w:ilvl w:val="0"/>
                <w:numId w:val="19"/>
              </w:numPr>
              <w:rPr>
                <w:rFonts w:cstheme="minorHAnsi"/>
              </w:rPr>
            </w:pPr>
            <w:r w:rsidRPr="00884DF7">
              <w:rPr>
                <w:rFonts w:cstheme="minorHAnsi"/>
                <w:lang w:val="en-US"/>
              </w:rPr>
              <w:t>To</w:t>
            </w:r>
            <w:r w:rsidRPr="00884DF7">
              <w:rPr>
                <w:rFonts w:cstheme="minorHAnsi"/>
              </w:rPr>
              <w:t xml:space="preserve"> maximise</w:t>
            </w:r>
            <w:r w:rsidRPr="00884DF7">
              <w:rPr>
                <w:rFonts w:cstheme="minorHAnsi"/>
                <w:lang w:val="en-US"/>
              </w:rPr>
              <w:t xml:space="preserve"> the potential of</w:t>
            </w:r>
            <w:r w:rsidRPr="00884DF7">
              <w:rPr>
                <w:rFonts w:cstheme="minorHAnsi"/>
              </w:rPr>
              <w:t xml:space="preserve"> a well-connected but underutilised</w:t>
            </w:r>
            <w:r w:rsidRPr="00884DF7">
              <w:rPr>
                <w:rFonts w:cstheme="minorHAnsi"/>
                <w:lang w:val="en-US"/>
              </w:rPr>
              <w:t xml:space="preserve"> brownfield</w:t>
            </w:r>
            <w:r>
              <w:rPr>
                <w:rFonts w:cstheme="minorHAnsi"/>
                <w:lang w:val="en-US"/>
              </w:rPr>
              <w:t xml:space="preserve"> low-intensity employment land </w:t>
            </w:r>
            <w:r w:rsidRPr="00884DF7">
              <w:rPr>
                <w:rFonts w:cstheme="minorHAnsi"/>
                <w:lang w:val="en-US"/>
              </w:rPr>
              <w:t>adjacent to the proposed Luas green line extension to Finglas, and proposed Finglas Core Bus Corridor</w:t>
            </w:r>
            <w:r>
              <w:rPr>
                <w:rFonts w:cstheme="minorHAnsi"/>
                <w:lang w:val="en-US"/>
              </w:rPr>
              <w:t>.</w:t>
            </w:r>
          </w:p>
          <w:p w14:paraId="6A751473" w14:textId="0898A440" w:rsidR="00884DF7" w:rsidRPr="00884DF7" w:rsidRDefault="00884DF7" w:rsidP="001E3652">
            <w:pPr>
              <w:pStyle w:val="ListParagraph"/>
              <w:numPr>
                <w:ilvl w:val="0"/>
                <w:numId w:val="19"/>
              </w:numPr>
              <w:rPr>
                <w:rFonts w:cstheme="minorHAnsi"/>
                <w:lang w:val="en-US"/>
              </w:rPr>
            </w:pPr>
            <w:r w:rsidRPr="00884DF7">
              <w:rPr>
                <w:rFonts w:cstheme="minorHAnsi"/>
                <w:lang w:val="en-US"/>
              </w:rPr>
              <w:t>To support the economic</w:t>
            </w:r>
            <w:r w:rsidRPr="00884DF7">
              <w:rPr>
                <w:rFonts w:cstheme="minorHAnsi"/>
              </w:rPr>
              <w:t xml:space="preserve"> revitalisation</w:t>
            </w:r>
            <w:r w:rsidRPr="00884DF7">
              <w:rPr>
                <w:rFonts w:cstheme="minorHAnsi"/>
                <w:lang w:val="en-US"/>
              </w:rPr>
              <w:t xml:space="preserve"> of Finglas village through the creation of a cohesive urban framework and guiding principles, by way of a new SDRA designation for the proposed Z14 lands, to ensure that the future development of the lands occurs in a coordinated and sustainable manner that can act as a catalyst to regenerate the village. </w:t>
            </w:r>
          </w:p>
          <w:p w14:paraId="51977996" w14:textId="134F3A87" w:rsidR="6508F772" w:rsidRPr="006431E5" w:rsidRDefault="03D94B68" w:rsidP="001E3652">
            <w:pPr>
              <w:rPr>
                <w:rFonts w:cstheme="minorHAnsi"/>
                <w:sz w:val="22"/>
                <w:szCs w:val="22"/>
              </w:rPr>
            </w:pPr>
            <w:r w:rsidRPr="006431E5">
              <w:rPr>
                <w:rFonts w:cstheme="minorHAnsi"/>
                <w:sz w:val="22"/>
                <w:szCs w:val="22"/>
              </w:rPr>
              <w:t>The Development Plan</w:t>
            </w:r>
            <w:r w:rsidR="0067756D" w:rsidRPr="006431E5">
              <w:rPr>
                <w:rFonts w:cstheme="minorHAnsi"/>
                <w:sz w:val="22"/>
                <w:szCs w:val="22"/>
              </w:rPr>
              <w:t xml:space="preserve"> establishes the strategic</w:t>
            </w:r>
            <w:r w:rsidRPr="006431E5">
              <w:rPr>
                <w:rFonts w:cstheme="minorHAnsi"/>
                <w:sz w:val="22"/>
                <w:szCs w:val="22"/>
              </w:rPr>
              <w:t xml:space="preserve"> planning policy framework for all p</w:t>
            </w:r>
            <w:r w:rsidR="0067756D" w:rsidRPr="006431E5">
              <w:rPr>
                <w:rFonts w:cstheme="minorHAnsi"/>
                <w:sz w:val="22"/>
                <w:szCs w:val="22"/>
              </w:rPr>
              <w:t>rojects and development in the City (excluding S</w:t>
            </w:r>
            <w:r w:rsidR="00F135CA" w:rsidRPr="006431E5">
              <w:rPr>
                <w:rFonts w:cstheme="minorHAnsi"/>
                <w:sz w:val="22"/>
                <w:szCs w:val="22"/>
              </w:rPr>
              <w:t xml:space="preserve">trategic </w:t>
            </w:r>
            <w:r w:rsidR="0067756D" w:rsidRPr="006431E5">
              <w:rPr>
                <w:rFonts w:cstheme="minorHAnsi"/>
                <w:sz w:val="22"/>
                <w:szCs w:val="22"/>
              </w:rPr>
              <w:t>D</w:t>
            </w:r>
            <w:r w:rsidR="00F135CA" w:rsidRPr="006431E5">
              <w:rPr>
                <w:rFonts w:cstheme="minorHAnsi"/>
                <w:sz w:val="22"/>
                <w:szCs w:val="22"/>
              </w:rPr>
              <w:t xml:space="preserve">evelopment </w:t>
            </w:r>
            <w:r w:rsidR="0067756D" w:rsidRPr="006431E5">
              <w:rPr>
                <w:rFonts w:cstheme="minorHAnsi"/>
                <w:sz w:val="22"/>
                <w:szCs w:val="22"/>
              </w:rPr>
              <w:t>Z</w:t>
            </w:r>
            <w:r w:rsidR="00F135CA" w:rsidRPr="006431E5">
              <w:rPr>
                <w:rFonts w:cstheme="minorHAnsi"/>
                <w:sz w:val="22"/>
                <w:szCs w:val="22"/>
              </w:rPr>
              <w:t>one</w:t>
            </w:r>
            <w:r w:rsidR="0067756D" w:rsidRPr="006431E5">
              <w:rPr>
                <w:rFonts w:cstheme="minorHAnsi"/>
                <w:sz w:val="22"/>
                <w:szCs w:val="22"/>
              </w:rPr>
              <w:t>s)</w:t>
            </w:r>
            <w:r w:rsidRPr="006431E5">
              <w:rPr>
                <w:rFonts w:cstheme="minorHAnsi"/>
                <w:sz w:val="22"/>
                <w:szCs w:val="22"/>
              </w:rPr>
              <w:t>.  All planning proposals are assessed against th</w:t>
            </w:r>
            <w:r w:rsidR="00EC7BDD">
              <w:rPr>
                <w:rFonts w:cstheme="minorHAnsi"/>
                <w:sz w:val="22"/>
                <w:szCs w:val="22"/>
              </w:rPr>
              <w:t xml:space="preserve">is strategic framework and </w:t>
            </w:r>
            <w:r w:rsidRPr="006431E5">
              <w:rPr>
                <w:rFonts w:cstheme="minorHAnsi"/>
                <w:sz w:val="22"/>
                <w:szCs w:val="22"/>
              </w:rPr>
              <w:t xml:space="preserve">all lower plans must be consistent </w:t>
            </w:r>
            <w:r w:rsidR="00A21464">
              <w:rPr>
                <w:rFonts w:cstheme="minorHAnsi"/>
                <w:sz w:val="22"/>
                <w:szCs w:val="22"/>
              </w:rPr>
              <w:t>with this</w:t>
            </w:r>
            <w:r w:rsidR="0067756D" w:rsidRPr="006431E5">
              <w:rPr>
                <w:rFonts w:cstheme="minorHAnsi"/>
                <w:sz w:val="22"/>
                <w:szCs w:val="22"/>
              </w:rPr>
              <w:t>.</w:t>
            </w:r>
            <w:r w:rsidRPr="006431E5">
              <w:rPr>
                <w:rFonts w:cstheme="minorHAnsi"/>
                <w:sz w:val="22"/>
                <w:szCs w:val="22"/>
              </w:rPr>
              <w:t xml:space="preserve">  </w:t>
            </w:r>
            <w:r w:rsidR="00884DF7">
              <w:rPr>
                <w:rFonts w:cstheme="minorHAnsi"/>
                <w:sz w:val="22"/>
                <w:szCs w:val="22"/>
              </w:rPr>
              <w:t xml:space="preserve">It is considered that this proposed variation is consistent with the Development Plan. </w:t>
            </w:r>
          </w:p>
          <w:p w14:paraId="3BAA0C81" w14:textId="0FC84339" w:rsidR="6508F772" w:rsidRPr="006431E5" w:rsidRDefault="03D94B68" w:rsidP="001E3652">
            <w:pPr>
              <w:rPr>
                <w:rFonts w:cstheme="minorHAnsi"/>
                <w:sz w:val="22"/>
                <w:szCs w:val="22"/>
              </w:rPr>
            </w:pPr>
            <w:r w:rsidRPr="006431E5">
              <w:rPr>
                <w:rFonts w:cstheme="minorHAnsi"/>
                <w:sz w:val="22"/>
                <w:szCs w:val="22"/>
              </w:rPr>
              <w:t xml:space="preserve">The content of the </w:t>
            </w:r>
            <w:r w:rsidR="00A21464">
              <w:rPr>
                <w:rFonts w:cstheme="minorHAnsi"/>
                <w:sz w:val="22"/>
                <w:szCs w:val="22"/>
              </w:rPr>
              <w:t>Development Plan</w:t>
            </w:r>
            <w:r w:rsidRPr="006431E5">
              <w:rPr>
                <w:rFonts w:cstheme="minorHAnsi"/>
                <w:sz w:val="22"/>
                <w:szCs w:val="22"/>
              </w:rPr>
              <w:t xml:space="preserve"> has been informed by Strategic En</w:t>
            </w:r>
            <w:r w:rsidR="00587C2F" w:rsidRPr="006431E5">
              <w:rPr>
                <w:rFonts w:cstheme="minorHAnsi"/>
                <w:sz w:val="22"/>
                <w:szCs w:val="22"/>
              </w:rPr>
              <w:t>vironmental Assessment (SEA)</w:t>
            </w:r>
            <w:r w:rsidR="00A32B77" w:rsidRPr="006431E5">
              <w:rPr>
                <w:rFonts w:cstheme="minorHAnsi"/>
                <w:sz w:val="22"/>
                <w:szCs w:val="22"/>
              </w:rPr>
              <w:t>, Appropriate</w:t>
            </w:r>
            <w:r w:rsidRPr="006431E5">
              <w:rPr>
                <w:rFonts w:cstheme="minorHAnsi"/>
                <w:sz w:val="22"/>
                <w:szCs w:val="22"/>
              </w:rPr>
              <w:t xml:space="preserve"> Assessment (AA) </w:t>
            </w:r>
            <w:r w:rsidR="00587C2F" w:rsidRPr="006431E5">
              <w:rPr>
                <w:rFonts w:cstheme="minorHAnsi"/>
                <w:sz w:val="22"/>
                <w:szCs w:val="22"/>
              </w:rPr>
              <w:t xml:space="preserve">and Strategic Flood Risk Assessment (SFRA) </w:t>
            </w:r>
            <w:r w:rsidRPr="006431E5">
              <w:rPr>
                <w:rFonts w:cstheme="minorHAnsi"/>
                <w:sz w:val="22"/>
                <w:szCs w:val="22"/>
              </w:rPr>
              <w:t>undertaken as parallel processes in tandem with each st</w:t>
            </w:r>
            <w:r w:rsidR="6C5FF90B" w:rsidRPr="006431E5">
              <w:rPr>
                <w:rFonts w:cstheme="minorHAnsi"/>
                <w:sz w:val="22"/>
                <w:szCs w:val="22"/>
              </w:rPr>
              <w:t>age</w:t>
            </w:r>
            <w:r w:rsidRPr="006431E5">
              <w:rPr>
                <w:rFonts w:cstheme="minorHAnsi"/>
                <w:sz w:val="22"/>
                <w:szCs w:val="22"/>
              </w:rPr>
              <w:t xml:space="preserve"> of </w:t>
            </w:r>
            <w:r w:rsidR="00F135CA" w:rsidRPr="006431E5">
              <w:rPr>
                <w:rFonts w:cstheme="minorHAnsi"/>
                <w:sz w:val="22"/>
                <w:szCs w:val="22"/>
              </w:rPr>
              <w:t xml:space="preserve">Plan </w:t>
            </w:r>
            <w:r w:rsidR="0067756D" w:rsidRPr="006431E5">
              <w:rPr>
                <w:rFonts w:cstheme="minorHAnsi"/>
                <w:sz w:val="22"/>
                <w:szCs w:val="22"/>
              </w:rPr>
              <w:t>process</w:t>
            </w:r>
            <w:r w:rsidRPr="006431E5">
              <w:rPr>
                <w:rFonts w:cstheme="minorHAnsi"/>
                <w:sz w:val="22"/>
                <w:szCs w:val="22"/>
              </w:rPr>
              <w:t xml:space="preserve">, thereby ensuring full integration and consideration of environmental issues.  </w:t>
            </w:r>
          </w:p>
          <w:p w14:paraId="0003783A" w14:textId="7A072995" w:rsidR="6508F772" w:rsidRPr="006431E5" w:rsidRDefault="03D94B68" w:rsidP="001E3652">
            <w:pPr>
              <w:rPr>
                <w:rFonts w:cstheme="minorHAnsi"/>
                <w:sz w:val="22"/>
                <w:szCs w:val="22"/>
              </w:rPr>
            </w:pPr>
            <w:r w:rsidRPr="006431E5">
              <w:rPr>
                <w:rFonts w:cstheme="minorHAnsi"/>
                <w:sz w:val="22"/>
                <w:szCs w:val="22"/>
              </w:rPr>
              <w:t>It is not considered that the proposed re</w:t>
            </w:r>
            <w:r w:rsidR="03B7795C" w:rsidRPr="006431E5">
              <w:rPr>
                <w:rFonts w:cstheme="minorHAnsi"/>
                <w:sz w:val="22"/>
                <w:szCs w:val="22"/>
              </w:rPr>
              <w:t>-</w:t>
            </w:r>
            <w:r w:rsidRPr="006431E5">
              <w:rPr>
                <w:rFonts w:cstheme="minorHAnsi"/>
                <w:sz w:val="22"/>
                <w:szCs w:val="22"/>
              </w:rPr>
              <w:t xml:space="preserve">zoning and </w:t>
            </w:r>
            <w:r w:rsidR="0067756D" w:rsidRPr="006431E5">
              <w:rPr>
                <w:rFonts w:cstheme="minorHAnsi"/>
                <w:sz w:val="22"/>
                <w:szCs w:val="22"/>
              </w:rPr>
              <w:t xml:space="preserve">associated </w:t>
            </w:r>
            <w:r w:rsidRPr="006431E5">
              <w:rPr>
                <w:rFonts w:cstheme="minorHAnsi"/>
                <w:sz w:val="22"/>
                <w:szCs w:val="22"/>
              </w:rPr>
              <w:t>textual change</w:t>
            </w:r>
            <w:r w:rsidR="7D0AE698" w:rsidRPr="006431E5">
              <w:rPr>
                <w:rFonts w:cstheme="minorHAnsi"/>
                <w:sz w:val="22"/>
                <w:szCs w:val="22"/>
              </w:rPr>
              <w:t>s</w:t>
            </w:r>
            <w:r w:rsidRPr="006431E5">
              <w:rPr>
                <w:rFonts w:cstheme="minorHAnsi"/>
                <w:sz w:val="22"/>
                <w:szCs w:val="22"/>
              </w:rPr>
              <w:t xml:space="preserve">, result in significant effects on the environment over and above any identified (and mitigated against) as part of the SEA of the Development Plan.  </w:t>
            </w:r>
          </w:p>
        </w:tc>
      </w:tr>
      <w:tr w:rsidR="6508F772" w:rsidRPr="006431E5" w14:paraId="0AE4E5AD" w14:textId="77777777" w:rsidTr="1B348B48">
        <w:tc>
          <w:tcPr>
            <w:tcW w:w="9030" w:type="dxa"/>
            <w:tcBorders>
              <w:left w:val="single" w:sz="6" w:space="0" w:color="auto"/>
              <w:bottom w:val="single" w:sz="6" w:space="0" w:color="auto"/>
              <w:right w:val="single" w:sz="6" w:space="0" w:color="auto"/>
            </w:tcBorders>
            <w:vAlign w:val="center"/>
          </w:tcPr>
          <w:p w14:paraId="2CA4CF9F" w14:textId="4B31D463" w:rsidR="6508F772" w:rsidRPr="006431E5" w:rsidRDefault="03D94B68" w:rsidP="001E3652">
            <w:pPr>
              <w:rPr>
                <w:rFonts w:cstheme="minorHAnsi"/>
                <w:b/>
                <w:sz w:val="22"/>
                <w:szCs w:val="22"/>
              </w:rPr>
            </w:pPr>
            <w:r w:rsidRPr="006431E5">
              <w:rPr>
                <w:rFonts w:cstheme="minorHAnsi"/>
                <w:b/>
                <w:sz w:val="22"/>
                <w:szCs w:val="22"/>
              </w:rPr>
              <w:lastRenderedPageBreak/>
              <w:t>The degree to which the plan influences other plans, including those in a hierarchy.</w:t>
            </w:r>
          </w:p>
          <w:p w14:paraId="62F8C6DD" w14:textId="1FA7A011" w:rsidR="6508F772" w:rsidRPr="006431E5" w:rsidRDefault="03D94B68" w:rsidP="001E3652">
            <w:pPr>
              <w:rPr>
                <w:rFonts w:cstheme="minorHAnsi"/>
                <w:sz w:val="22"/>
                <w:szCs w:val="22"/>
              </w:rPr>
            </w:pPr>
            <w:r w:rsidRPr="006431E5">
              <w:rPr>
                <w:rFonts w:cstheme="minorHAnsi"/>
                <w:sz w:val="22"/>
                <w:szCs w:val="22"/>
              </w:rPr>
              <w:t xml:space="preserve">The Development Plan sits at the Local Government level of the Spatial </w:t>
            </w:r>
            <w:r w:rsidR="004E7AF7">
              <w:rPr>
                <w:rFonts w:cstheme="minorHAnsi"/>
                <w:sz w:val="22"/>
                <w:szCs w:val="22"/>
              </w:rPr>
              <w:t xml:space="preserve">Planning Hierarchy in Ireland and </w:t>
            </w:r>
            <w:r w:rsidRPr="006431E5">
              <w:rPr>
                <w:rFonts w:cstheme="minorHAnsi"/>
                <w:sz w:val="22"/>
                <w:szCs w:val="22"/>
              </w:rPr>
              <w:t xml:space="preserve">below the Regional Assembly and Government levels.  The Development Plan sits at the top of the Local Government Level Spatial Planning Hierarchy and it influences Local Area Plans.  </w:t>
            </w:r>
          </w:p>
          <w:p w14:paraId="700C5898" w14:textId="4FAF727F" w:rsidR="6508F772" w:rsidRPr="006431E5" w:rsidRDefault="03D94B68" w:rsidP="001E3652">
            <w:pPr>
              <w:rPr>
                <w:rFonts w:cstheme="minorHAnsi"/>
                <w:sz w:val="22"/>
                <w:szCs w:val="22"/>
              </w:rPr>
            </w:pPr>
            <w:r w:rsidRPr="006431E5">
              <w:rPr>
                <w:rFonts w:cstheme="minorHAnsi"/>
                <w:sz w:val="22"/>
                <w:szCs w:val="22"/>
              </w:rPr>
              <w:t>A variation to the</w:t>
            </w:r>
            <w:r w:rsidR="004E7AF7">
              <w:rPr>
                <w:rFonts w:cstheme="minorHAnsi"/>
                <w:sz w:val="22"/>
                <w:szCs w:val="22"/>
              </w:rPr>
              <w:t xml:space="preserve"> Development Plan is proposed relating to </w:t>
            </w:r>
            <w:r w:rsidRPr="006431E5">
              <w:rPr>
                <w:rFonts w:cstheme="minorHAnsi"/>
                <w:sz w:val="22"/>
                <w:szCs w:val="22"/>
              </w:rPr>
              <w:t>the rezoning of lands at a local scale in the city and with</w:t>
            </w:r>
            <w:r w:rsidR="004E7AF7">
              <w:rPr>
                <w:rFonts w:cstheme="minorHAnsi"/>
                <w:sz w:val="22"/>
                <w:szCs w:val="22"/>
              </w:rPr>
              <w:t xml:space="preserve"> associated</w:t>
            </w:r>
            <w:r w:rsidRPr="006431E5">
              <w:rPr>
                <w:rFonts w:cstheme="minorHAnsi"/>
                <w:sz w:val="22"/>
                <w:szCs w:val="22"/>
              </w:rPr>
              <w:t xml:space="preserve"> textual change</w:t>
            </w:r>
            <w:r w:rsidR="004E7AF7">
              <w:rPr>
                <w:rFonts w:cstheme="minorHAnsi"/>
                <w:sz w:val="22"/>
                <w:szCs w:val="22"/>
              </w:rPr>
              <w:t xml:space="preserve">s relating to the designation of a SDRA. </w:t>
            </w:r>
          </w:p>
          <w:p w14:paraId="6F6D437B" w14:textId="6DA17B24" w:rsidR="6508F772" w:rsidRPr="006431E5" w:rsidRDefault="03D94B68" w:rsidP="001E3652">
            <w:pPr>
              <w:rPr>
                <w:rFonts w:cstheme="minorHAnsi"/>
                <w:sz w:val="22"/>
                <w:szCs w:val="22"/>
              </w:rPr>
            </w:pPr>
            <w:r w:rsidRPr="006431E5">
              <w:rPr>
                <w:rFonts w:cstheme="minorHAnsi"/>
                <w:sz w:val="22"/>
                <w:szCs w:val="22"/>
              </w:rPr>
              <w:t xml:space="preserve">The proposed Variation does not influence other plans, including those in a hierarchy.  </w:t>
            </w:r>
          </w:p>
        </w:tc>
      </w:tr>
      <w:tr w:rsidR="6508F772" w:rsidRPr="006431E5" w14:paraId="44FC6801" w14:textId="77777777" w:rsidTr="1B348B48">
        <w:tc>
          <w:tcPr>
            <w:tcW w:w="9030" w:type="dxa"/>
            <w:tcBorders>
              <w:left w:val="single" w:sz="6" w:space="0" w:color="auto"/>
              <w:bottom w:val="single" w:sz="6" w:space="0" w:color="auto"/>
              <w:right w:val="single" w:sz="6" w:space="0" w:color="auto"/>
            </w:tcBorders>
            <w:vAlign w:val="center"/>
          </w:tcPr>
          <w:p w14:paraId="76179B11" w14:textId="4754C7FB" w:rsidR="6508F772" w:rsidRPr="006431E5" w:rsidRDefault="03D94B68" w:rsidP="001E3652">
            <w:pPr>
              <w:rPr>
                <w:rFonts w:cstheme="minorHAnsi"/>
                <w:b/>
                <w:sz w:val="22"/>
                <w:szCs w:val="22"/>
              </w:rPr>
            </w:pPr>
            <w:r w:rsidRPr="006431E5">
              <w:rPr>
                <w:rFonts w:cstheme="minorHAnsi"/>
                <w:b/>
                <w:sz w:val="22"/>
                <w:szCs w:val="22"/>
              </w:rPr>
              <w:t>The relevance of the plan for the integration of environmental considerations, in particular with a view to promoting sustainable development.</w:t>
            </w:r>
          </w:p>
          <w:p w14:paraId="47459B23" w14:textId="6C67B441" w:rsidR="6508F772" w:rsidRPr="006431E5" w:rsidRDefault="03D94B68" w:rsidP="001E3652">
            <w:pPr>
              <w:rPr>
                <w:rFonts w:cstheme="minorHAnsi"/>
                <w:sz w:val="22"/>
                <w:szCs w:val="22"/>
              </w:rPr>
            </w:pPr>
            <w:r w:rsidRPr="006431E5">
              <w:rPr>
                <w:rFonts w:cstheme="minorHAnsi"/>
                <w:sz w:val="22"/>
                <w:szCs w:val="22"/>
              </w:rPr>
              <w:t>The Development Plan sets out the overall strategy for the proper planning and sustainable development of the city and consists of a written statement and plans indicating the development objectives for the city (as requ</w:t>
            </w:r>
            <w:r w:rsidR="009A4C15">
              <w:rPr>
                <w:rFonts w:cstheme="minorHAnsi"/>
                <w:sz w:val="22"/>
                <w:szCs w:val="22"/>
              </w:rPr>
              <w:t xml:space="preserve">ired under Section 10 of the P&amp;D </w:t>
            </w:r>
            <w:r w:rsidRPr="006431E5">
              <w:rPr>
                <w:rFonts w:cstheme="minorHAnsi"/>
                <w:sz w:val="22"/>
                <w:szCs w:val="22"/>
              </w:rPr>
              <w:t xml:space="preserve">Act, as amended).  </w:t>
            </w:r>
          </w:p>
          <w:p w14:paraId="6CA74E3B" w14:textId="5C45B9DC" w:rsidR="6508F772" w:rsidRPr="006431E5" w:rsidRDefault="03D94B68" w:rsidP="001E3652">
            <w:pPr>
              <w:rPr>
                <w:rFonts w:cstheme="minorHAnsi"/>
                <w:sz w:val="22"/>
                <w:szCs w:val="22"/>
              </w:rPr>
            </w:pPr>
            <w:r w:rsidRPr="006431E5">
              <w:rPr>
                <w:rFonts w:cstheme="minorHAnsi"/>
                <w:sz w:val="22"/>
                <w:szCs w:val="22"/>
              </w:rPr>
              <w:t xml:space="preserve">The </w:t>
            </w:r>
            <w:r w:rsidR="00F135CA" w:rsidRPr="006431E5">
              <w:rPr>
                <w:rFonts w:cstheme="minorHAnsi"/>
                <w:sz w:val="22"/>
                <w:szCs w:val="22"/>
              </w:rPr>
              <w:t xml:space="preserve">Development Plan </w:t>
            </w:r>
            <w:r w:rsidRPr="006431E5">
              <w:rPr>
                <w:rFonts w:cstheme="minorHAnsi"/>
                <w:sz w:val="22"/>
                <w:szCs w:val="22"/>
              </w:rPr>
              <w:t>includes, inter-alia, the following objectives for:</w:t>
            </w:r>
          </w:p>
          <w:p w14:paraId="149F1CCC" w14:textId="6A52D315" w:rsidR="6508F772" w:rsidRPr="006431E5" w:rsidRDefault="03D94B68" w:rsidP="001E3652">
            <w:pPr>
              <w:pStyle w:val="ListParagraph"/>
              <w:numPr>
                <w:ilvl w:val="0"/>
                <w:numId w:val="5"/>
              </w:numPr>
              <w:rPr>
                <w:rFonts w:cstheme="minorHAnsi"/>
                <w:sz w:val="22"/>
                <w:szCs w:val="22"/>
              </w:rPr>
            </w:pPr>
            <w:r w:rsidRPr="006431E5">
              <w:rPr>
                <w:rFonts w:cstheme="minorHAnsi"/>
                <w:sz w:val="22"/>
                <w:szCs w:val="22"/>
              </w:rPr>
              <w:t xml:space="preserve">the conservation and protection of the environment including objectives related to the </w:t>
            </w:r>
            <w:r w:rsidRPr="006431E5">
              <w:rPr>
                <w:rFonts w:cstheme="minorHAnsi"/>
                <w:b/>
                <w:bCs/>
                <w:sz w:val="22"/>
                <w:szCs w:val="22"/>
              </w:rPr>
              <w:t xml:space="preserve">Habitats Directive, </w:t>
            </w:r>
          </w:p>
          <w:p w14:paraId="56D6162E" w14:textId="525D3148" w:rsidR="6508F772" w:rsidRPr="006431E5" w:rsidRDefault="03D94B68" w:rsidP="001E3652">
            <w:pPr>
              <w:pStyle w:val="ListParagraph"/>
              <w:numPr>
                <w:ilvl w:val="0"/>
                <w:numId w:val="5"/>
              </w:numPr>
              <w:rPr>
                <w:rFonts w:cstheme="minorHAnsi"/>
                <w:sz w:val="22"/>
                <w:szCs w:val="22"/>
              </w:rPr>
            </w:pPr>
            <w:r w:rsidRPr="006431E5">
              <w:rPr>
                <w:rFonts w:cstheme="minorHAnsi"/>
                <w:sz w:val="22"/>
                <w:szCs w:val="22"/>
              </w:rPr>
              <w:t>the promotion of compliance with environmental standards and objectives established for bodies of surface water and groundwater, which standards and objectives are included in river basin management plans (</w:t>
            </w:r>
            <w:r w:rsidRPr="006431E5">
              <w:rPr>
                <w:rFonts w:cstheme="minorHAnsi"/>
                <w:b/>
                <w:bCs/>
                <w:sz w:val="22"/>
                <w:szCs w:val="22"/>
              </w:rPr>
              <w:t>European Communities Regulations 2003/9/10),</w:t>
            </w:r>
          </w:p>
          <w:p w14:paraId="01B06B4A" w14:textId="1B030AB7" w:rsidR="6508F772" w:rsidRPr="006431E5" w:rsidRDefault="03D94B68" w:rsidP="001E3652">
            <w:pPr>
              <w:pStyle w:val="ListParagraph"/>
              <w:numPr>
                <w:ilvl w:val="0"/>
                <w:numId w:val="5"/>
              </w:numPr>
              <w:rPr>
                <w:rFonts w:cstheme="minorHAnsi"/>
                <w:sz w:val="22"/>
                <w:szCs w:val="22"/>
              </w:rPr>
            </w:pPr>
            <w:r w:rsidRPr="006431E5">
              <w:rPr>
                <w:rFonts w:cstheme="minorHAnsi"/>
                <w:sz w:val="22"/>
                <w:szCs w:val="22"/>
              </w:rPr>
              <w:t xml:space="preserve">the integration of the </w:t>
            </w:r>
            <w:r w:rsidRPr="006431E5">
              <w:rPr>
                <w:rFonts w:cstheme="minorHAnsi"/>
                <w:b/>
                <w:bCs/>
                <w:sz w:val="22"/>
                <w:szCs w:val="22"/>
              </w:rPr>
              <w:t>planning and sustainable development of the area</w:t>
            </w:r>
            <w:r w:rsidRPr="006431E5">
              <w:rPr>
                <w:rFonts w:cstheme="minorHAnsi"/>
                <w:sz w:val="22"/>
                <w:szCs w:val="22"/>
              </w:rPr>
              <w:t xml:space="preserve"> with the social, community and cultural requirements of the area;</w:t>
            </w:r>
          </w:p>
          <w:p w14:paraId="431E2347" w14:textId="7D015C7A" w:rsidR="6508F772" w:rsidRPr="006431E5" w:rsidRDefault="03D94B68" w:rsidP="001E3652">
            <w:pPr>
              <w:pStyle w:val="ListParagraph"/>
              <w:numPr>
                <w:ilvl w:val="0"/>
                <w:numId w:val="5"/>
              </w:numPr>
              <w:rPr>
                <w:rFonts w:cstheme="minorHAnsi"/>
                <w:sz w:val="22"/>
                <w:szCs w:val="22"/>
              </w:rPr>
            </w:pPr>
            <w:r w:rsidRPr="006431E5">
              <w:rPr>
                <w:rFonts w:cstheme="minorHAnsi"/>
                <w:sz w:val="22"/>
                <w:szCs w:val="22"/>
              </w:rPr>
              <w:t xml:space="preserve">the development and </w:t>
            </w:r>
            <w:r w:rsidRPr="006431E5">
              <w:rPr>
                <w:rFonts w:cstheme="minorHAnsi"/>
                <w:b/>
                <w:bCs/>
                <w:sz w:val="22"/>
                <w:szCs w:val="22"/>
              </w:rPr>
              <w:t>renewal of areas</w:t>
            </w:r>
            <w:r w:rsidRPr="006431E5">
              <w:rPr>
                <w:rFonts w:cstheme="minorHAnsi"/>
                <w:sz w:val="22"/>
                <w:szCs w:val="22"/>
              </w:rPr>
              <w:t xml:space="preserve"> that are in need of </w:t>
            </w:r>
            <w:r w:rsidRPr="006431E5">
              <w:rPr>
                <w:rFonts w:cstheme="minorHAnsi"/>
                <w:b/>
                <w:bCs/>
                <w:sz w:val="22"/>
                <w:szCs w:val="22"/>
              </w:rPr>
              <w:t>regeneration</w:t>
            </w:r>
            <w:r w:rsidRPr="006431E5">
              <w:rPr>
                <w:rFonts w:cstheme="minorHAnsi"/>
                <w:sz w:val="22"/>
                <w:szCs w:val="22"/>
              </w:rPr>
              <w:t>,</w:t>
            </w:r>
          </w:p>
          <w:p w14:paraId="75291C75" w14:textId="63A188CA" w:rsidR="6508F772" w:rsidRPr="006431E5" w:rsidRDefault="03D94B68" w:rsidP="001E3652">
            <w:pPr>
              <w:pStyle w:val="ListParagraph"/>
              <w:numPr>
                <w:ilvl w:val="0"/>
                <w:numId w:val="5"/>
              </w:numPr>
              <w:rPr>
                <w:rFonts w:cstheme="minorHAnsi"/>
                <w:sz w:val="22"/>
                <w:szCs w:val="22"/>
              </w:rPr>
            </w:pPr>
            <w:r w:rsidRPr="006431E5">
              <w:rPr>
                <w:rFonts w:cstheme="minorHAnsi"/>
                <w:sz w:val="22"/>
                <w:szCs w:val="22"/>
              </w:rPr>
              <w:t xml:space="preserve">the promotion of </w:t>
            </w:r>
            <w:r w:rsidRPr="006431E5">
              <w:rPr>
                <w:rFonts w:cstheme="minorHAnsi"/>
                <w:b/>
                <w:bCs/>
                <w:sz w:val="22"/>
                <w:szCs w:val="22"/>
              </w:rPr>
              <w:t>sustainable settlement and transportation strategies</w:t>
            </w:r>
            <w:r w:rsidRPr="006431E5">
              <w:rPr>
                <w:rFonts w:cstheme="minorHAnsi"/>
                <w:sz w:val="22"/>
                <w:szCs w:val="22"/>
              </w:rPr>
              <w:t xml:space="preserve"> in urban areas  including the promotion of measures to </w:t>
            </w:r>
            <w:r w:rsidRPr="006431E5">
              <w:rPr>
                <w:rFonts w:cstheme="minorHAnsi"/>
                <w:b/>
                <w:bCs/>
                <w:sz w:val="22"/>
                <w:szCs w:val="22"/>
              </w:rPr>
              <w:t>reduce energy demand</w:t>
            </w:r>
            <w:r w:rsidRPr="006431E5">
              <w:rPr>
                <w:rFonts w:cstheme="minorHAnsi"/>
                <w:sz w:val="22"/>
                <w:szCs w:val="22"/>
              </w:rPr>
              <w:t xml:space="preserve"> reduce anthropogenic greenhouse gas emissions and address the necessity of adaptation to climate change. </w:t>
            </w:r>
          </w:p>
          <w:p w14:paraId="3EFA2290" w14:textId="35EA6ED6" w:rsidR="6508F772" w:rsidRPr="006431E5" w:rsidRDefault="03D94B68" w:rsidP="001E3652">
            <w:pPr>
              <w:rPr>
                <w:rFonts w:cstheme="minorHAnsi"/>
                <w:sz w:val="22"/>
                <w:szCs w:val="22"/>
              </w:rPr>
            </w:pPr>
            <w:r w:rsidRPr="006431E5">
              <w:rPr>
                <w:rFonts w:cstheme="minorHAnsi"/>
                <w:sz w:val="22"/>
                <w:szCs w:val="22"/>
              </w:rPr>
              <w:t>The content of the Development Plan has been informed by Strategic Env</w:t>
            </w:r>
            <w:r w:rsidR="000313D1" w:rsidRPr="006431E5">
              <w:rPr>
                <w:rFonts w:cstheme="minorHAnsi"/>
                <w:sz w:val="22"/>
                <w:szCs w:val="22"/>
              </w:rPr>
              <w:t xml:space="preserve">ironmental Assessment (SEA), </w:t>
            </w:r>
            <w:r w:rsidRPr="006431E5">
              <w:rPr>
                <w:rFonts w:cstheme="minorHAnsi"/>
                <w:sz w:val="22"/>
                <w:szCs w:val="22"/>
              </w:rPr>
              <w:t xml:space="preserve">Appropriate Assessment (AA) </w:t>
            </w:r>
            <w:r w:rsidR="000313D1" w:rsidRPr="006431E5">
              <w:rPr>
                <w:rFonts w:cstheme="minorHAnsi"/>
                <w:sz w:val="22"/>
                <w:szCs w:val="22"/>
              </w:rPr>
              <w:t xml:space="preserve">and Strategic Flood Risk Assessment (SFRA) </w:t>
            </w:r>
            <w:r w:rsidRPr="006431E5">
              <w:rPr>
                <w:rFonts w:cstheme="minorHAnsi"/>
                <w:sz w:val="22"/>
                <w:szCs w:val="22"/>
              </w:rPr>
              <w:t xml:space="preserve">undertaken as parallel processes in tandem with each state of the development plan, thereby ensuring full integration and consideration of environmental issues.  </w:t>
            </w:r>
          </w:p>
          <w:p w14:paraId="1DBE096D" w14:textId="78970C98" w:rsidR="6508F772" w:rsidRPr="006431E5" w:rsidRDefault="03D94B68" w:rsidP="001E3652">
            <w:pPr>
              <w:rPr>
                <w:rFonts w:cstheme="minorHAnsi"/>
                <w:sz w:val="22"/>
                <w:szCs w:val="22"/>
              </w:rPr>
            </w:pPr>
            <w:r w:rsidRPr="006431E5">
              <w:rPr>
                <w:rFonts w:cstheme="minorHAnsi"/>
                <w:sz w:val="22"/>
                <w:szCs w:val="22"/>
              </w:rPr>
              <w:t xml:space="preserve">A variation to the Development Plan is proposed as set out above.  </w:t>
            </w:r>
          </w:p>
          <w:p w14:paraId="658585DD" w14:textId="5D6FBADB" w:rsidR="6508F772" w:rsidRPr="006431E5" w:rsidRDefault="03D94B68" w:rsidP="001E3652">
            <w:pPr>
              <w:rPr>
                <w:rFonts w:cstheme="minorHAnsi"/>
                <w:sz w:val="22"/>
                <w:szCs w:val="22"/>
              </w:rPr>
            </w:pPr>
            <w:r w:rsidRPr="006431E5">
              <w:rPr>
                <w:rFonts w:cstheme="minorHAnsi"/>
                <w:sz w:val="22"/>
                <w:szCs w:val="22"/>
              </w:rPr>
              <w:t xml:space="preserve">This variation is compatible and complementary with the strategies, policies and objectives of the Development Plan relating to </w:t>
            </w:r>
            <w:r w:rsidR="00F135CA" w:rsidRPr="006431E5">
              <w:rPr>
                <w:rFonts w:cstheme="minorHAnsi"/>
                <w:sz w:val="22"/>
                <w:szCs w:val="22"/>
              </w:rPr>
              <w:t xml:space="preserve">brownfield regeneration, </w:t>
            </w:r>
            <w:r w:rsidRPr="006431E5">
              <w:rPr>
                <w:rFonts w:cstheme="minorHAnsi"/>
                <w:sz w:val="22"/>
                <w:szCs w:val="22"/>
              </w:rPr>
              <w:t>s</w:t>
            </w:r>
            <w:r w:rsidR="00806968">
              <w:rPr>
                <w:rFonts w:cstheme="minorHAnsi"/>
                <w:sz w:val="22"/>
                <w:szCs w:val="22"/>
              </w:rPr>
              <w:t>ustainable urban housing, mixed-</w:t>
            </w:r>
            <w:r w:rsidRPr="006431E5">
              <w:rPr>
                <w:rFonts w:cstheme="minorHAnsi"/>
                <w:sz w:val="22"/>
                <w:szCs w:val="22"/>
              </w:rPr>
              <w:t xml:space="preserve">use development and with environmental protection.  </w:t>
            </w:r>
          </w:p>
        </w:tc>
      </w:tr>
      <w:tr w:rsidR="6508F772" w:rsidRPr="006431E5" w14:paraId="5470B535" w14:textId="77777777" w:rsidTr="1B348B48">
        <w:tc>
          <w:tcPr>
            <w:tcW w:w="9030" w:type="dxa"/>
            <w:tcBorders>
              <w:left w:val="single" w:sz="6" w:space="0" w:color="auto"/>
              <w:bottom w:val="single" w:sz="6" w:space="0" w:color="auto"/>
              <w:right w:val="single" w:sz="6" w:space="0" w:color="auto"/>
            </w:tcBorders>
            <w:vAlign w:val="center"/>
          </w:tcPr>
          <w:p w14:paraId="4DBA5A2E" w14:textId="79EDE579" w:rsidR="6508F772" w:rsidRPr="006431E5" w:rsidRDefault="03D94B68" w:rsidP="001E3652">
            <w:pPr>
              <w:rPr>
                <w:rFonts w:cstheme="minorHAnsi"/>
                <w:b/>
                <w:sz w:val="22"/>
                <w:szCs w:val="22"/>
              </w:rPr>
            </w:pPr>
            <w:r w:rsidRPr="006431E5">
              <w:rPr>
                <w:rFonts w:cstheme="minorHAnsi"/>
                <w:b/>
                <w:sz w:val="22"/>
                <w:szCs w:val="22"/>
              </w:rPr>
              <w:t>Environmental problems relevant to the plan.</w:t>
            </w:r>
          </w:p>
          <w:p w14:paraId="4F47C037" w14:textId="4884EB19" w:rsidR="6508F772" w:rsidRPr="006431E5" w:rsidRDefault="00FD295D" w:rsidP="001E3652">
            <w:pPr>
              <w:rPr>
                <w:rFonts w:cstheme="minorHAnsi"/>
                <w:sz w:val="22"/>
                <w:szCs w:val="22"/>
              </w:rPr>
            </w:pPr>
            <w:r w:rsidRPr="006431E5">
              <w:rPr>
                <w:rFonts w:cstheme="minorHAnsi"/>
                <w:sz w:val="22"/>
                <w:szCs w:val="22"/>
              </w:rPr>
              <w:lastRenderedPageBreak/>
              <w:t xml:space="preserve">The content of the </w:t>
            </w:r>
            <w:r w:rsidR="03D94B68" w:rsidRPr="006431E5">
              <w:rPr>
                <w:rFonts w:cstheme="minorHAnsi"/>
                <w:sz w:val="22"/>
                <w:szCs w:val="22"/>
              </w:rPr>
              <w:t>Development Plan has been informed by Strategic Env</w:t>
            </w:r>
            <w:r w:rsidRPr="006431E5">
              <w:rPr>
                <w:rFonts w:cstheme="minorHAnsi"/>
                <w:sz w:val="22"/>
                <w:szCs w:val="22"/>
              </w:rPr>
              <w:t xml:space="preserve">ironmental Assessment (SEA), Appropriate Assessment (AA) and Strategic Flood Risk Assessment (SFRA). </w:t>
            </w:r>
          </w:p>
          <w:p w14:paraId="034AAED4" w14:textId="420FAC00" w:rsidR="6508F772" w:rsidRPr="006431E5" w:rsidRDefault="03D94B68" w:rsidP="001E3652">
            <w:pPr>
              <w:rPr>
                <w:rFonts w:cstheme="minorHAnsi"/>
                <w:sz w:val="22"/>
                <w:szCs w:val="22"/>
              </w:rPr>
            </w:pPr>
            <w:r w:rsidRPr="006431E5">
              <w:rPr>
                <w:rFonts w:cstheme="minorHAnsi"/>
                <w:sz w:val="22"/>
                <w:szCs w:val="22"/>
              </w:rPr>
              <w:t xml:space="preserve">Chapter 4 of the SEA - ‘Baseline Environment’, identifies the relevant environmental issues (environmental problems) relevant to the development plan as they relate to Population and Human Health, Biodiversity, Flora and Fauna, Air Quality and Noise, Climatic Factors, Water Quality, Material Assets etc.  </w:t>
            </w:r>
          </w:p>
          <w:p w14:paraId="0B2A50FB" w14:textId="0F44FE89" w:rsidR="6508F772" w:rsidRPr="006431E5" w:rsidRDefault="03D94B68" w:rsidP="001E3652">
            <w:pPr>
              <w:rPr>
                <w:rFonts w:cstheme="minorHAnsi"/>
                <w:sz w:val="22"/>
                <w:szCs w:val="22"/>
              </w:rPr>
            </w:pPr>
            <w:r w:rsidRPr="006431E5">
              <w:rPr>
                <w:rFonts w:cstheme="minorHAnsi"/>
                <w:sz w:val="22"/>
                <w:szCs w:val="22"/>
              </w:rPr>
              <w:t xml:space="preserve">On foot of the SEA of the </w:t>
            </w:r>
            <w:r w:rsidR="00F135CA" w:rsidRPr="006431E5">
              <w:rPr>
                <w:rFonts w:cstheme="minorHAnsi"/>
                <w:sz w:val="22"/>
                <w:szCs w:val="22"/>
              </w:rPr>
              <w:t>Development Plan</w:t>
            </w:r>
            <w:r w:rsidRPr="006431E5">
              <w:rPr>
                <w:rFonts w:cstheme="minorHAnsi"/>
                <w:sz w:val="22"/>
                <w:szCs w:val="22"/>
              </w:rPr>
              <w:t xml:space="preserve">, the policies and objectives of the Development Plan contain measures to prevent, reduce and offset any potential significant adverse environmental effects of the </w:t>
            </w:r>
            <w:r w:rsidR="00F135CA" w:rsidRPr="006431E5">
              <w:rPr>
                <w:rFonts w:cstheme="minorHAnsi"/>
                <w:sz w:val="22"/>
                <w:szCs w:val="22"/>
              </w:rPr>
              <w:t xml:space="preserve">Development Plan </w:t>
            </w:r>
            <w:r w:rsidRPr="006431E5">
              <w:rPr>
                <w:rFonts w:cstheme="minorHAnsi"/>
                <w:sz w:val="22"/>
                <w:szCs w:val="22"/>
              </w:rPr>
              <w:t xml:space="preserve">strategy, policies and objectives.  </w:t>
            </w:r>
          </w:p>
          <w:p w14:paraId="06C23B56" w14:textId="49EFBCE4" w:rsidR="6508F772" w:rsidRPr="006431E5" w:rsidRDefault="03D94B68" w:rsidP="001E3652">
            <w:pPr>
              <w:rPr>
                <w:rFonts w:cstheme="minorHAnsi"/>
                <w:sz w:val="22"/>
                <w:szCs w:val="22"/>
              </w:rPr>
            </w:pPr>
            <w:r w:rsidRPr="006431E5">
              <w:rPr>
                <w:rFonts w:cstheme="minorHAnsi"/>
                <w:sz w:val="22"/>
                <w:szCs w:val="22"/>
              </w:rPr>
              <w:t>A variation to the Deve</w:t>
            </w:r>
            <w:r w:rsidR="000313D1" w:rsidRPr="006431E5">
              <w:rPr>
                <w:rFonts w:cstheme="minorHAnsi"/>
                <w:sz w:val="22"/>
                <w:szCs w:val="22"/>
              </w:rPr>
              <w:t>lopment Plan is proposed.  The v</w:t>
            </w:r>
            <w:r w:rsidRPr="006431E5">
              <w:rPr>
                <w:rFonts w:cstheme="minorHAnsi"/>
                <w:sz w:val="22"/>
                <w:szCs w:val="22"/>
              </w:rPr>
              <w:t>ariation is concerned with the re</w:t>
            </w:r>
            <w:r w:rsidR="000313D1" w:rsidRPr="006431E5">
              <w:rPr>
                <w:rFonts w:cstheme="minorHAnsi"/>
                <w:sz w:val="22"/>
                <w:szCs w:val="22"/>
              </w:rPr>
              <w:t xml:space="preserve">-zoning of land </w:t>
            </w:r>
            <w:r w:rsidRPr="006431E5">
              <w:rPr>
                <w:rFonts w:cstheme="minorHAnsi"/>
                <w:sz w:val="22"/>
                <w:szCs w:val="22"/>
              </w:rPr>
              <w:t xml:space="preserve">in the city and </w:t>
            </w:r>
            <w:r w:rsidR="000313D1" w:rsidRPr="006431E5">
              <w:rPr>
                <w:rFonts w:cstheme="minorHAnsi"/>
                <w:sz w:val="22"/>
                <w:szCs w:val="22"/>
              </w:rPr>
              <w:t>associated t</w:t>
            </w:r>
            <w:r w:rsidRPr="006431E5">
              <w:rPr>
                <w:rFonts w:cstheme="minorHAnsi"/>
                <w:sz w:val="22"/>
                <w:szCs w:val="22"/>
              </w:rPr>
              <w:t>extual change</w:t>
            </w:r>
            <w:r w:rsidR="00AA5516" w:rsidRPr="006431E5">
              <w:rPr>
                <w:rFonts w:cstheme="minorHAnsi"/>
                <w:sz w:val="22"/>
                <w:szCs w:val="22"/>
              </w:rPr>
              <w:t>s</w:t>
            </w:r>
            <w:r w:rsidR="000313D1" w:rsidRPr="006431E5">
              <w:rPr>
                <w:rFonts w:cstheme="minorHAnsi"/>
                <w:sz w:val="22"/>
                <w:szCs w:val="22"/>
              </w:rPr>
              <w:t xml:space="preserve"> relating to a new SDRA designation. </w:t>
            </w:r>
            <w:r w:rsidRPr="006431E5">
              <w:rPr>
                <w:rFonts w:cstheme="minorHAnsi"/>
                <w:sz w:val="22"/>
                <w:szCs w:val="22"/>
              </w:rPr>
              <w:t xml:space="preserve"> </w:t>
            </w:r>
          </w:p>
          <w:p w14:paraId="6E8E0839" w14:textId="1E654669" w:rsidR="6508F772" w:rsidRPr="006431E5" w:rsidRDefault="03D94B68" w:rsidP="00BE5B1C">
            <w:pPr>
              <w:rPr>
                <w:rFonts w:cstheme="minorHAnsi"/>
                <w:sz w:val="22"/>
                <w:szCs w:val="22"/>
              </w:rPr>
            </w:pPr>
            <w:r w:rsidRPr="006431E5">
              <w:rPr>
                <w:rFonts w:cstheme="minorHAnsi"/>
                <w:sz w:val="22"/>
                <w:szCs w:val="22"/>
              </w:rPr>
              <w:t xml:space="preserve">It is not considered that the proposed variation results in significant effects on the environment over and above any identified (and mitigated against) as part of the SEA of the Development Plan.  </w:t>
            </w:r>
          </w:p>
        </w:tc>
      </w:tr>
      <w:tr w:rsidR="6508F772" w:rsidRPr="006431E5" w14:paraId="6BBB2AF6" w14:textId="77777777" w:rsidTr="1B348B48">
        <w:trPr>
          <w:trHeight w:val="3581"/>
        </w:trPr>
        <w:tc>
          <w:tcPr>
            <w:tcW w:w="9030" w:type="dxa"/>
            <w:tcBorders>
              <w:left w:val="single" w:sz="6" w:space="0" w:color="auto"/>
              <w:bottom w:val="single" w:sz="6" w:space="0" w:color="auto"/>
              <w:right w:val="single" w:sz="6" w:space="0" w:color="auto"/>
            </w:tcBorders>
            <w:vAlign w:val="center"/>
          </w:tcPr>
          <w:p w14:paraId="71D7771C" w14:textId="22BE5CB7" w:rsidR="6508F772" w:rsidRPr="006431E5" w:rsidRDefault="03D94B68" w:rsidP="001E3652">
            <w:pPr>
              <w:rPr>
                <w:rFonts w:cstheme="minorHAnsi"/>
                <w:b/>
                <w:sz w:val="22"/>
                <w:szCs w:val="22"/>
              </w:rPr>
            </w:pPr>
            <w:r w:rsidRPr="006431E5">
              <w:rPr>
                <w:rFonts w:cstheme="minorHAnsi"/>
                <w:b/>
                <w:sz w:val="22"/>
                <w:szCs w:val="22"/>
              </w:rPr>
              <w:lastRenderedPageBreak/>
              <w:t>The relevance of the plan for the implementation of European Union legislation on the environment (e.g. plans linked to waste management or water protection).</w:t>
            </w:r>
          </w:p>
          <w:p w14:paraId="6E5F9A94" w14:textId="077F0F38" w:rsidR="6508F772" w:rsidRPr="006431E5" w:rsidRDefault="00FD295D" w:rsidP="001E3652">
            <w:pPr>
              <w:rPr>
                <w:rFonts w:cstheme="minorHAnsi"/>
                <w:sz w:val="22"/>
                <w:szCs w:val="22"/>
              </w:rPr>
            </w:pPr>
            <w:r w:rsidRPr="006431E5">
              <w:rPr>
                <w:rFonts w:cstheme="minorHAnsi"/>
                <w:sz w:val="22"/>
                <w:szCs w:val="22"/>
              </w:rPr>
              <w:t xml:space="preserve">The </w:t>
            </w:r>
            <w:r w:rsidR="03D94B68" w:rsidRPr="006431E5">
              <w:rPr>
                <w:rFonts w:cstheme="minorHAnsi"/>
                <w:sz w:val="22"/>
                <w:szCs w:val="22"/>
              </w:rPr>
              <w:t xml:space="preserve">Development Plan is relevant for the implementation of European Union legislation on the environment.  </w:t>
            </w:r>
          </w:p>
          <w:p w14:paraId="59C96F9F" w14:textId="37BED135" w:rsidR="6508F772" w:rsidRPr="006431E5" w:rsidRDefault="03D94B68" w:rsidP="001E3652">
            <w:pPr>
              <w:rPr>
                <w:rFonts w:cstheme="minorHAnsi"/>
                <w:sz w:val="22"/>
                <w:szCs w:val="22"/>
              </w:rPr>
            </w:pPr>
            <w:r w:rsidRPr="006431E5">
              <w:rPr>
                <w:rFonts w:cstheme="minorHAnsi"/>
                <w:sz w:val="22"/>
                <w:szCs w:val="22"/>
              </w:rPr>
              <w:t>The development plan must include, inter-alia, the following objectives:</w:t>
            </w:r>
          </w:p>
          <w:p w14:paraId="20701A46" w14:textId="622E9A3B" w:rsidR="6508F772" w:rsidRPr="006431E5" w:rsidRDefault="00806968" w:rsidP="001E3652">
            <w:pPr>
              <w:pStyle w:val="ListParagraph"/>
              <w:numPr>
                <w:ilvl w:val="0"/>
                <w:numId w:val="5"/>
              </w:numPr>
              <w:rPr>
                <w:rFonts w:cstheme="minorHAnsi"/>
                <w:sz w:val="22"/>
                <w:szCs w:val="22"/>
              </w:rPr>
            </w:pPr>
            <w:r>
              <w:rPr>
                <w:rFonts w:cstheme="minorHAnsi"/>
                <w:sz w:val="22"/>
                <w:szCs w:val="22"/>
              </w:rPr>
              <w:t>The</w:t>
            </w:r>
            <w:r w:rsidR="03D94B68" w:rsidRPr="006431E5">
              <w:rPr>
                <w:rFonts w:cstheme="minorHAnsi"/>
                <w:sz w:val="22"/>
                <w:szCs w:val="22"/>
              </w:rPr>
              <w:t xml:space="preserve"> conservation and protection of the environment including objectives related to the </w:t>
            </w:r>
            <w:r w:rsidR="03D94B68" w:rsidRPr="006431E5">
              <w:rPr>
                <w:rFonts w:cstheme="minorHAnsi"/>
                <w:b/>
                <w:bCs/>
                <w:sz w:val="22"/>
                <w:szCs w:val="22"/>
              </w:rPr>
              <w:t xml:space="preserve">Habitats Directive, </w:t>
            </w:r>
          </w:p>
          <w:p w14:paraId="12774E45" w14:textId="6DF123BD" w:rsidR="6508F772" w:rsidRPr="006431E5" w:rsidRDefault="00806968" w:rsidP="001E3652">
            <w:pPr>
              <w:pStyle w:val="ListParagraph"/>
              <w:numPr>
                <w:ilvl w:val="0"/>
                <w:numId w:val="5"/>
              </w:numPr>
              <w:rPr>
                <w:rFonts w:cstheme="minorHAnsi"/>
                <w:sz w:val="22"/>
                <w:szCs w:val="22"/>
              </w:rPr>
            </w:pPr>
            <w:r>
              <w:rPr>
                <w:rFonts w:cstheme="minorHAnsi"/>
                <w:sz w:val="22"/>
                <w:szCs w:val="22"/>
              </w:rPr>
              <w:t>T</w:t>
            </w:r>
            <w:r w:rsidR="03D94B68" w:rsidRPr="006431E5">
              <w:rPr>
                <w:rFonts w:cstheme="minorHAnsi"/>
                <w:sz w:val="22"/>
                <w:szCs w:val="22"/>
              </w:rPr>
              <w:t>he promotion of compliance with environmental standards and objectives established for bodies of surface water and groundwater, which standards and objectives are included in river basin management plans (</w:t>
            </w:r>
            <w:r w:rsidR="03D94B68" w:rsidRPr="006431E5">
              <w:rPr>
                <w:rFonts w:cstheme="minorHAnsi"/>
                <w:b/>
                <w:bCs/>
                <w:sz w:val="22"/>
                <w:szCs w:val="22"/>
              </w:rPr>
              <w:t xml:space="preserve">European Communities Regulations 2003/9/10).  </w:t>
            </w:r>
          </w:p>
          <w:p w14:paraId="575D1302" w14:textId="38C513F2" w:rsidR="6508F772" w:rsidRPr="006431E5" w:rsidRDefault="03D94B68" w:rsidP="001E3652">
            <w:pPr>
              <w:rPr>
                <w:rFonts w:cstheme="minorHAnsi"/>
                <w:sz w:val="22"/>
                <w:szCs w:val="22"/>
              </w:rPr>
            </w:pPr>
            <w:r w:rsidRPr="006431E5">
              <w:rPr>
                <w:rFonts w:cstheme="minorHAnsi"/>
                <w:sz w:val="22"/>
                <w:szCs w:val="22"/>
              </w:rPr>
              <w:t xml:space="preserve">The proposed Variation does not directly relate to policies / objectives which are directly concerned with the implementation of European Union legislation on the environment.  </w:t>
            </w:r>
          </w:p>
        </w:tc>
      </w:tr>
      <w:tr w:rsidR="6508F772" w:rsidRPr="006431E5" w14:paraId="3663CA13" w14:textId="77777777" w:rsidTr="1B348B48">
        <w:tc>
          <w:tcPr>
            <w:tcW w:w="9030" w:type="dxa"/>
            <w:tcBorders>
              <w:left w:val="single" w:sz="6" w:space="0" w:color="auto"/>
              <w:bottom w:val="single" w:sz="6" w:space="0" w:color="auto"/>
              <w:right w:val="single" w:sz="6" w:space="0" w:color="auto"/>
            </w:tcBorders>
            <w:vAlign w:val="center"/>
          </w:tcPr>
          <w:p w14:paraId="55FB3FB3" w14:textId="45EE8A81" w:rsidR="6508F772" w:rsidRPr="006431E5" w:rsidRDefault="6508F772" w:rsidP="001E3652">
            <w:pPr>
              <w:rPr>
                <w:rFonts w:cstheme="minorHAnsi"/>
                <w:sz w:val="22"/>
                <w:szCs w:val="22"/>
              </w:rPr>
            </w:pPr>
          </w:p>
        </w:tc>
      </w:tr>
    </w:tbl>
    <w:p w14:paraId="4F868E47" w14:textId="6E9D031F" w:rsidR="6508F772" w:rsidRPr="006431E5" w:rsidRDefault="6508F772" w:rsidP="001E3652">
      <w:pPr>
        <w:rPr>
          <w:rFonts w:cstheme="minorHAnsi"/>
          <w:sz w:val="22"/>
          <w:szCs w:val="22"/>
        </w:rPr>
      </w:pPr>
    </w:p>
    <w:tbl>
      <w:tblPr>
        <w:tblW w:w="0" w:type="auto"/>
        <w:tblLayout w:type="fixed"/>
        <w:tblLook w:val="00A0" w:firstRow="1" w:lastRow="0" w:firstColumn="1" w:lastColumn="0" w:noHBand="0" w:noVBand="0"/>
      </w:tblPr>
      <w:tblGrid>
        <w:gridCol w:w="9030"/>
      </w:tblGrid>
      <w:tr w:rsidR="6508F772" w:rsidRPr="006431E5" w14:paraId="72197D21" w14:textId="77777777" w:rsidTr="1B348B48">
        <w:tc>
          <w:tcPr>
            <w:tcW w:w="9030" w:type="dxa"/>
            <w:tcBorders>
              <w:top w:val="single" w:sz="6" w:space="0" w:color="auto"/>
              <w:left w:val="single" w:sz="6" w:space="0" w:color="auto"/>
              <w:bottom w:val="single" w:sz="6" w:space="0" w:color="auto"/>
              <w:right w:val="single" w:sz="6" w:space="0" w:color="auto"/>
            </w:tcBorders>
            <w:vAlign w:val="center"/>
          </w:tcPr>
          <w:p w14:paraId="7BB409FA" w14:textId="793E82F7" w:rsidR="6508F772" w:rsidRPr="006431E5" w:rsidRDefault="03D94B68" w:rsidP="001E3652">
            <w:pPr>
              <w:rPr>
                <w:rFonts w:cstheme="minorHAnsi"/>
                <w:b/>
                <w:sz w:val="22"/>
                <w:szCs w:val="22"/>
              </w:rPr>
            </w:pPr>
            <w:r w:rsidRPr="006431E5">
              <w:rPr>
                <w:rFonts w:cstheme="minorHAnsi"/>
                <w:b/>
                <w:sz w:val="22"/>
                <w:szCs w:val="22"/>
              </w:rPr>
              <w:t>CHARACTERISTICS OF THE EFFECTS AND OF THE AREA LIKELY TO BE AFFECTED, HAVING REGARD, IN PARTICULAR, TO:</w:t>
            </w:r>
          </w:p>
          <w:p w14:paraId="012FB871" w14:textId="260DABF3" w:rsidR="6508F772" w:rsidRPr="006431E5" w:rsidRDefault="6508F772" w:rsidP="001E3652">
            <w:pPr>
              <w:rPr>
                <w:rFonts w:cstheme="minorHAnsi"/>
                <w:sz w:val="22"/>
                <w:szCs w:val="22"/>
              </w:rPr>
            </w:pPr>
          </w:p>
        </w:tc>
      </w:tr>
      <w:tr w:rsidR="6508F772" w:rsidRPr="006431E5" w14:paraId="4998BEAA" w14:textId="77777777" w:rsidTr="1B348B48">
        <w:tc>
          <w:tcPr>
            <w:tcW w:w="9030" w:type="dxa"/>
            <w:tcBorders>
              <w:left w:val="single" w:sz="6" w:space="0" w:color="auto"/>
              <w:bottom w:val="single" w:sz="6" w:space="0" w:color="auto"/>
              <w:right w:val="single" w:sz="6" w:space="0" w:color="auto"/>
            </w:tcBorders>
            <w:vAlign w:val="center"/>
          </w:tcPr>
          <w:p w14:paraId="05117BBD" w14:textId="77777777" w:rsidR="006D6C1E" w:rsidRDefault="03D94B68" w:rsidP="001E3652">
            <w:pPr>
              <w:rPr>
                <w:rFonts w:cstheme="minorHAnsi"/>
                <w:b/>
                <w:sz w:val="22"/>
                <w:szCs w:val="22"/>
              </w:rPr>
            </w:pPr>
            <w:r w:rsidRPr="006431E5">
              <w:rPr>
                <w:rFonts w:cstheme="minorHAnsi"/>
                <w:b/>
                <w:sz w:val="22"/>
                <w:szCs w:val="22"/>
              </w:rPr>
              <w:t xml:space="preserve">The probability, duration, frequency and reversibility of the effects. </w:t>
            </w:r>
          </w:p>
          <w:p w14:paraId="34B71816" w14:textId="512EA234" w:rsidR="6508F772" w:rsidRPr="006D6C1E" w:rsidRDefault="03D94B68" w:rsidP="001E3652">
            <w:pPr>
              <w:rPr>
                <w:rFonts w:cstheme="minorHAnsi"/>
                <w:b/>
                <w:sz w:val="22"/>
                <w:szCs w:val="22"/>
              </w:rPr>
            </w:pPr>
            <w:r w:rsidRPr="006431E5">
              <w:rPr>
                <w:rFonts w:cstheme="minorHAnsi"/>
                <w:b/>
                <w:sz w:val="22"/>
                <w:szCs w:val="22"/>
              </w:rPr>
              <w:t>The cumulative nature of the effects.</w:t>
            </w:r>
          </w:p>
          <w:p w14:paraId="1F30C5B6" w14:textId="37F3703E" w:rsidR="6508F772" w:rsidRPr="006431E5" w:rsidRDefault="000313D1" w:rsidP="001E3652">
            <w:pPr>
              <w:rPr>
                <w:rFonts w:cstheme="minorHAnsi"/>
                <w:sz w:val="22"/>
                <w:szCs w:val="22"/>
              </w:rPr>
            </w:pPr>
            <w:r w:rsidRPr="006431E5">
              <w:rPr>
                <w:rFonts w:cstheme="minorHAnsi"/>
                <w:sz w:val="22"/>
                <w:szCs w:val="22"/>
              </w:rPr>
              <w:lastRenderedPageBreak/>
              <w:t>The proposed v</w:t>
            </w:r>
            <w:r w:rsidR="03D94B68" w:rsidRPr="006431E5">
              <w:rPr>
                <w:rFonts w:cstheme="minorHAnsi"/>
                <w:sz w:val="22"/>
                <w:szCs w:val="22"/>
              </w:rPr>
              <w:t xml:space="preserve">ariation sits within the framework of the operational Development Plan. The </w:t>
            </w:r>
            <w:r w:rsidR="00F135CA" w:rsidRPr="006431E5">
              <w:rPr>
                <w:rFonts w:cstheme="minorHAnsi"/>
                <w:sz w:val="22"/>
                <w:szCs w:val="22"/>
              </w:rPr>
              <w:t>Development Plan</w:t>
            </w:r>
            <w:r w:rsidR="03D94B68" w:rsidRPr="006431E5">
              <w:rPr>
                <w:rFonts w:cstheme="minorHAnsi"/>
                <w:sz w:val="22"/>
                <w:szCs w:val="22"/>
              </w:rPr>
              <w:t xml:space="preserve"> sets the city</w:t>
            </w:r>
            <w:r w:rsidR="439DC77B" w:rsidRPr="006431E5">
              <w:rPr>
                <w:rFonts w:cstheme="minorHAnsi"/>
                <w:sz w:val="22"/>
                <w:szCs w:val="22"/>
              </w:rPr>
              <w:t>-</w:t>
            </w:r>
            <w:r w:rsidR="03D94B68" w:rsidRPr="006431E5">
              <w:rPr>
                <w:rFonts w:cstheme="minorHAnsi"/>
                <w:sz w:val="22"/>
                <w:szCs w:val="22"/>
              </w:rPr>
              <w:t>wide planning policy framework for all projects and development in the city. All planning proposals are assessed against the policies and objectives of</w:t>
            </w:r>
            <w:r w:rsidR="00F135CA" w:rsidRPr="006431E5">
              <w:rPr>
                <w:rFonts w:cstheme="minorHAnsi"/>
                <w:sz w:val="22"/>
                <w:szCs w:val="22"/>
              </w:rPr>
              <w:t xml:space="preserve"> the</w:t>
            </w:r>
            <w:r w:rsidR="03D94B68" w:rsidRPr="006431E5">
              <w:rPr>
                <w:rFonts w:cstheme="minorHAnsi"/>
                <w:sz w:val="22"/>
                <w:szCs w:val="22"/>
              </w:rPr>
              <w:t xml:space="preserve"> </w:t>
            </w:r>
            <w:r w:rsidR="00F135CA" w:rsidRPr="006431E5">
              <w:rPr>
                <w:rFonts w:cstheme="minorHAnsi"/>
                <w:sz w:val="22"/>
                <w:szCs w:val="22"/>
              </w:rPr>
              <w:t xml:space="preserve">Development Plan </w:t>
            </w:r>
            <w:r w:rsidR="03D94B68" w:rsidRPr="006431E5">
              <w:rPr>
                <w:rFonts w:cstheme="minorHAnsi"/>
                <w:sz w:val="22"/>
                <w:szCs w:val="22"/>
              </w:rPr>
              <w:t xml:space="preserve">and all lower plans must be consistent with the </w:t>
            </w:r>
            <w:r w:rsidR="00F135CA" w:rsidRPr="006431E5">
              <w:rPr>
                <w:rFonts w:cstheme="minorHAnsi"/>
                <w:sz w:val="22"/>
                <w:szCs w:val="22"/>
              </w:rPr>
              <w:t>Development Plan</w:t>
            </w:r>
            <w:r w:rsidR="03D94B68" w:rsidRPr="006431E5">
              <w:rPr>
                <w:rFonts w:cstheme="minorHAnsi"/>
                <w:sz w:val="22"/>
                <w:szCs w:val="22"/>
              </w:rPr>
              <w:t>.  The content of the Development Plan has been informed by Strategic Env</w:t>
            </w:r>
            <w:r w:rsidR="00FD295D" w:rsidRPr="006431E5">
              <w:rPr>
                <w:rFonts w:cstheme="minorHAnsi"/>
                <w:sz w:val="22"/>
                <w:szCs w:val="22"/>
              </w:rPr>
              <w:t xml:space="preserve">ironmental Assessment (SEA), </w:t>
            </w:r>
            <w:r w:rsidR="03D94B68" w:rsidRPr="006431E5">
              <w:rPr>
                <w:rFonts w:cstheme="minorHAnsi"/>
                <w:sz w:val="22"/>
                <w:szCs w:val="22"/>
              </w:rPr>
              <w:t>Appropriate Assessment (AA)</w:t>
            </w:r>
            <w:r w:rsidR="00FD295D" w:rsidRPr="006431E5">
              <w:rPr>
                <w:rFonts w:cstheme="minorHAnsi"/>
                <w:sz w:val="22"/>
                <w:szCs w:val="22"/>
              </w:rPr>
              <w:t xml:space="preserve"> and Strategic Flood Risk Assessment (SFRA)</w:t>
            </w:r>
            <w:r w:rsidR="03D94B68" w:rsidRPr="006431E5">
              <w:rPr>
                <w:rFonts w:cstheme="minorHAnsi"/>
                <w:sz w:val="22"/>
                <w:szCs w:val="22"/>
              </w:rPr>
              <w:t xml:space="preserve"> undertaken as parallel pr</w:t>
            </w:r>
            <w:r w:rsidR="006D6C1E">
              <w:rPr>
                <w:rFonts w:cstheme="minorHAnsi"/>
                <w:sz w:val="22"/>
                <w:szCs w:val="22"/>
              </w:rPr>
              <w:t>ocesses in tandem with each stage</w:t>
            </w:r>
            <w:r w:rsidR="03D94B68" w:rsidRPr="006431E5">
              <w:rPr>
                <w:rFonts w:cstheme="minorHAnsi"/>
                <w:sz w:val="22"/>
                <w:szCs w:val="22"/>
              </w:rPr>
              <w:t xml:space="preserve"> of the development plan, thereby ensuring full integration and consideration of environmental issues. </w:t>
            </w:r>
          </w:p>
          <w:p w14:paraId="27B0CAE9" w14:textId="7183F857" w:rsidR="6508F772" w:rsidRPr="006431E5" w:rsidRDefault="000313D1" w:rsidP="001E3652">
            <w:pPr>
              <w:rPr>
                <w:rFonts w:cstheme="minorHAnsi"/>
                <w:sz w:val="22"/>
                <w:szCs w:val="22"/>
              </w:rPr>
            </w:pPr>
            <w:r w:rsidRPr="006431E5">
              <w:rPr>
                <w:rFonts w:cstheme="minorHAnsi"/>
                <w:sz w:val="22"/>
                <w:szCs w:val="22"/>
              </w:rPr>
              <w:t>The proposed v</w:t>
            </w:r>
            <w:r w:rsidR="03D94B68" w:rsidRPr="006431E5">
              <w:rPr>
                <w:rFonts w:cstheme="minorHAnsi"/>
                <w:sz w:val="22"/>
                <w:szCs w:val="22"/>
              </w:rPr>
              <w:t xml:space="preserve">ariation is compatible, and complementary with, the policies and objectives of the operational </w:t>
            </w:r>
            <w:r w:rsidR="00F135CA" w:rsidRPr="006431E5">
              <w:rPr>
                <w:rFonts w:cstheme="minorHAnsi"/>
                <w:sz w:val="22"/>
                <w:szCs w:val="22"/>
              </w:rPr>
              <w:t xml:space="preserve">Development Plan </w:t>
            </w:r>
            <w:r w:rsidR="03D94B68" w:rsidRPr="006431E5">
              <w:rPr>
                <w:rFonts w:cstheme="minorHAnsi"/>
                <w:sz w:val="22"/>
                <w:szCs w:val="22"/>
              </w:rPr>
              <w:t>relating to compact urban development and environmental protection.</w:t>
            </w:r>
          </w:p>
          <w:p w14:paraId="3102CEF1" w14:textId="1CEB6C10" w:rsidR="6508F772" w:rsidRPr="006431E5" w:rsidRDefault="03D94B68" w:rsidP="001E3652">
            <w:pPr>
              <w:rPr>
                <w:rFonts w:cstheme="minorHAnsi"/>
                <w:sz w:val="22"/>
                <w:szCs w:val="22"/>
                <w:lang w:val="en-IE"/>
              </w:rPr>
            </w:pPr>
            <w:r w:rsidRPr="006431E5">
              <w:rPr>
                <w:rFonts w:cstheme="minorHAnsi"/>
                <w:sz w:val="22"/>
                <w:szCs w:val="22"/>
                <w:lang w:val="en-IE"/>
              </w:rPr>
              <w:t xml:space="preserve">The Z6 </w:t>
            </w:r>
            <w:r w:rsidR="003F5580" w:rsidRPr="006431E5">
              <w:rPr>
                <w:rFonts w:cstheme="minorHAnsi"/>
                <w:sz w:val="22"/>
                <w:szCs w:val="22"/>
                <w:lang w:val="en-IE"/>
              </w:rPr>
              <w:t>land bank</w:t>
            </w:r>
            <w:r w:rsidRPr="006431E5">
              <w:rPr>
                <w:rFonts w:cstheme="minorHAnsi"/>
                <w:sz w:val="22"/>
                <w:szCs w:val="22"/>
                <w:lang w:val="en-IE"/>
              </w:rPr>
              <w:t xml:space="preserve"> subject to </w:t>
            </w:r>
            <w:r w:rsidR="661EB1E8" w:rsidRPr="006431E5">
              <w:rPr>
                <w:rFonts w:cstheme="minorHAnsi"/>
                <w:sz w:val="22"/>
                <w:szCs w:val="22"/>
                <w:lang w:val="en-IE"/>
              </w:rPr>
              <w:t xml:space="preserve">this </w:t>
            </w:r>
            <w:r w:rsidRPr="006431E5">
              <w:rPr>
                <w:rFonts w:cstheme="minorHAnsi"/>
                <w:sz w:val="22"/>
                <w:szCs w:val="22"/>
                <w:lang w:val="en-IE"/>
              </w:rPr>
              <w:t xml:space="preserve">proposed </w:t>
            </w:r>
            <w:r w:rsidR="4CAC3484" w:rsidRPr="006431E5">
              <w:rPr>
                <w:rFonts w:cstheme="minorHAnsi"/>
                <w:sz w:val="22"/>
                <w:szCs w:val="22"/>
                <w:lang w:val="en-IE"/>
              </w:rPr>
              <w:t>v</w:t>
            </w:r>
            <w:r w:rsidRPr="006431E5">
              <w:rPr>
                <w:rFonts w:cstheme="minorHAnsi"/>
                <w:sz w:val="22"/>
                <w:szCs w:val="22"/>
                <w:lang w:val="en-IE"/>
              </w:rPr>
              <w:t xml:space="preserve">ariation </w:t>
            </w:r>
            <w:r w:rsidR="264A4070" w:rsidRPr="006431E5">
              <w:rPr>
                <w:rFonts w:cstheme="minorHAnsi"/>
                <w:sz w:val="22"/>
                <w:szCs w:val="22"/>
                <w:lang w:val="en-IE"/>
              </w:rPr>
              <w:t>is</w:t>
            </w:r>
            <w:r w:rsidR="0A5B3E96" w:rsidRPr="006431E5">
              <w:rPr>
                <w:rFonts w:cstheme="minorHAnsi"/>
                <w:sz w:val="22"/>
                <w:szCs w:val="22"/>
                <w:lang w:val="en-IE"/>
              </w:rPr>
              <w:t xml:space="preserve"> </w:t>
            </w:r>
            <w:r w:rsidRPr="006431E5">
              <w:rPr>
                <w:rFonts w:cstheme="minorHAnsi"/>
                <w:sz w:val="22"/>
                <w:szCs w:val="22"/>
                <w:lang w:val="en-IE"/>
              </w:rPr>
              <w:t xml:space="preserve">underutilised in nature, </w:t>
            </w:r>
            <w:r w:rsidR="7667E590" w:rsidRPr="006431E5">
              <w:rPr>
                <w:rFonts w:cstheme="minorHAnsi"/>
                <w:sz w:val="22"/>
                <w:szCs w:val="22"/>
                <w:lang w:val="en-IE"/>
              </w:rPr>
              <w:t xml:space="preserve">but </w:t>
            </w:r>
            <w:r w:rsidR="27A0F9B5" w:rsidRPr="006431E5">
              <w:rPr>
                <w:rFonts w:cstheme="minorHAnsi"/>
                <w:sz w:val="22"/>
                <w:szCs w:val="22"/>
                <w:lang w:val="en-IE"/>
              </w:rPr>
              <w:t>is</w:t>
            </w:r>
            <w:r w:rsidR="7667E590" w:rsidRPr="006431E5">
              <w:rPr>
                <w:rFonts w:cstheme="minorHAnsi"/>
                <w:sz w:val="22"/>
                <w:szCs w:val="22"/>
                <w:lang w:val="en-IE"/>
              </w:rPr>
              <w:t xml:space="preserve"> </w:t>
            </w:r>
            <w:r w:rsidRPr="006431E5">
              <w:rPr>
                <w:rFonts w:cstheme="minorHAnsi"/>
                <w:sz w:val="22"/>
                <w:szCs w:val="22"/>
                <w:lang w:val="en-IE"/>
              </w:rPr>
              <w:t>located</w:t>
            </w:r>
            <w:r w:rsidRPr="006431E5">
              <w:rPr>
                <w:rFonts w:cstheme="minorHAnsi"/>
                <w:sz w:val="22"/>
                <w:szCs w:val="22"/>
              </w:rPr>
              <w:t xml:space="preserve"> </w:t>
            </w:r>
            <w:r w:rsidR="3031188B" w:rsidRPr="006431E5">
              <w:rPr>
                <w:rFonts w:cstheme="minorHAnsi"/>
                <w:sz w:val="22"/>
                <w:szCs w:val="22"/>
              </w:rPr>
              <w:t>adjacent to the existing built-up area of the City</w:t>
            </w:r>
            <w:r w:rsidR="00750342">
              <w:rPr>
                <w:rFonts w:cstheme="minorHAnsi"/>
                <w:sz w:val="22"/>
                <w:szCs w:val="22"/>
              </w:rPr>
              <w:t xml:space="preserve">, contiguous to </w:t>
            </w:r>
            <w:proofErr w:type="spellStart"/>
            <w:r w:rsidR="00750342">
              <w:rPr>
                <w:rFonts w:cstheme="minorHAnsi"/>
                <w:sz w:val="22"/>
                <w:szCs w:val="22"/>
              </w:rPr>
              <w:t>Finglas</w:t>
            </w:r>
            <w:proofErr w:type="spellEnd"/>
            <w:r w:rsidR="00750342">
              <w:rPr>
                <w:rFonts w:cstheme="minorHAnsi"/>
                <w:sz w:val="22"/>
                <w:szCs w:val="22"/>
              </w:rPr>
              <w:t xml:space="preserve"> village,</w:t>
            </w:r>
            <w:r w:rsidR="3031188B" w:rsidRPr="006431E5">
              <w:rPr>
                <w:rFonts w:cstheme="minorHAnsi"/>
                <w:sz w:val="22"/>
                <w:szCs w:val="22"/>
              </w:rPr>
              <w:t xml:space="preserve"> and </w:t>
            </w:r>
            <w:r w:rsidRPr="006431E5">
              <w:rPr>
                <w:rFonts w:cstheme="minorHAnsi"/>
                <w:sz w:val="22"/>
                <w:szCs w:val="22"/>
              </w:rPr>
              <w:t xml:space="preserve">along </w:t>
            </w:r>
            <w:r w:rsidR="3C9D246E" w:rsidRPr="006431E5">
              <w:rPr>
                <w:rFonts w:cstheme="minorHAnsi"/>
                <w:sz w:val="22"/>
                <w:szCs w:val="22"/>
              </w:rPr>
              <w:t xml:space="preserve">proposed </w:t>
            </w:r>
            <w:r w:rsidRPr="006431E5">
              <w:rPr>
                <w:rFonts w:cstheme="minorHAnsi"/>
                <w:sz w:val="22"/>
                <w:szCs w:val="22"/>
              </w:rPr>
              <w:t>high quality public transport corridors</w:t>
            </w:r>
            <w:r w:rsidR="22F480EF" w:rsidRPr="006431E5">
              <w:rPr>
                <w:rFonts w:cstheme="minorHAnsi"/>
                <w:sz w:val="22"/>
                <w:szCs w:val="22"/>
              </w:rPr>
              <w:t xml:space="preserve"> (</w:t>
            </w:r>
            <w:proofErr w:type="spellStart"/>
            <w:r w:rsidR="00750342">
              <w:rPr>
                <w:rFonts w:cstheme="minorHAnsi"/>
                <w:sz w:val="22"/>
                <w:szCs w:val="22"/>
              </w:rPr>
              <w:t>Finglas</w:t>
            </w:r>
            <w:proofErr w:type="spellEnd"/>
            <w:r w:rsidR="00750342">
              <w:rPr>
                <w:rFonts w:cstheme="minorHAnsi"/>
                <w:sz w:val="22"/>
                <w:szCs w:val="22"/>
              </w:rPr>
              <w:t xml:space="preserve"> </w:t>
            </w:r>
            <w:r w:rsidR="22F480EF" w:rsidRPr="006431E5">
              <w:rPr>
                <w:rFonts w:cstheme="minorHAnsi"/>
                <w:sz w:val="22"/>
                <w:szCs w:val="22"/>
              </w:rPr>
              <w:t>Luas and Bus Connects)</w:t>
            </w:r>
            <w:r w:rsidRPr="006431E5">
              <w:rPr>
                <w:rFonts w:cstheme="minorHAnsi"/>
                <w:sz w:val="22"/>
                <w:szCs w:val="22"/>
              </w:rPr>
              <w:t>.  These lands are affected by various issues including</w:t>
            </w:r>
            <w:r w:rsidR="41EF8C54" w:rsidRPr="006431E5">
              <w:rPr>
                <w:rFonts w:cstheme="minorHAnsi"/>
                <w:sz w:val="22"/>
                <w:szCs w:val="22"/>
              </w:rPr>
              <w:t xml:space="preserve"> </w:t>
            </w:r>
            <w:r w:rsidRPr="006431E5">
              <w:rPr>
                <w:rFonts w:cstheme="minorHAnsi"/>
                <w:sz w:val="22"/>
                <w:szCs w:val="22"/>
              </w:rPr>
              <w:t>vacancy</w:t>
            </w:r>
            <w:r w:rsidR="3EF66BAD" w:rsidRPr="006431E5">
              <w:rPr>
                <w:rFonts w:cstheme="minorHAnsi"/>
                <w:sz w:val="22"/>
                <w:szCs w:val="22"/>
              </w:rPr>
              <w:t>, poor urban design</w:t>
            </w:r>
            <w:r w:rsidR="6DFA6040" w:rsidRPr="006431E5">
              <w:rPr>
                <w:rFonts w:cstheme="minorHAnsi"/>
                <w:sz w:val="22"/>
                <w:szCs w:val="22"/>
              </w:rPr>
              <w:t xml:space="preserve"> and</w:t>
            </w:r>
            <w:r w:rsidRPr="006431E5">
              <w:rPr>
                <w:rFonts w:cstheme="minorHAnsi"/>
                <w:sz w:val="22"/>
                <w:szCs w:val="22"/>
                <w:lang w:val="en-IE"/>
              </w:rPr>
              <w:t xml:space="preserve"> underutili</w:t>
            </w:r>
            <w:r w:rsidR="6DB4B79D" w:rsidRPr="006431E5">
              <w:rPr>
                <w:rFonts w:cstheme="minorHAnsi"/>
                <w:sz w:val="22"/>
                <w:szCs w:val="22"/>
                <w:lang w:val="en-IE"/>
              </w:rPr>
              <w:t>s</w:t>
            </w:r>
            <w:r w:rsidRPr="006431E5">
              <w:rPr>
                <w:rFonts w:cstheme="minorHAnsi"/>
                <w:sz w:val="22"/>
                <w:szCs w:val="22"/>
                <w:lang w:val="en-IE"/>
              </w:rPr>
              <w:t>atio</w:t>
            </w:r>
            <w:r w:rsidR="5624E5FD" w:rsidRPr="006431E5">
              <w:rPr>
                <w:rFonts w:cstheme="minorHAnsi"/>
                <w:sz w:val="22"/>
                <w:szCs w:val="22"/>
                <w:lang w:val="en-IE"/>
              </w:rPr>
              <w:t>n, but</w:t>
            </w:r>
            <w:r w:rsidRPr="006431E5">
              <w:rPr>
                <w:rFonts w:cstheme="minorHAnsi"/>
                <w:sz w:val="22"/>
                <w:szCs w:val="22"/>
                <w:lang w:val="en-IE"/>
              </w:rPr>
              <w:t xml:space="preserve"> have significant potential (subject to their rezoning) to deliver improved amenities and a better relationship with neighbouring lands</w:t>
            </w:r>
            <w:r w:rsidR="23AF900E" w:rsidRPr="006431E5">
              <w:rPr>
                <w:rFonts w:cstheme="minorHAnsi"/>
                <w:sz w:val="22"/>
                <w:szCs w:val="22"/>
                <w:lang w:val="en-IE"/>
              </w:rPr>
              <w:t xml:space="preserve"> and streets. </w:t>
            </w:r>
          </w:p>
          <w:p w14:paraId="4244F3AB" w14:textId="2E8CEC65" w:rsidR="6508F772" w:rsidRPr="006431E5" w:rsidRDefault="03D94B68" w:rsidP="001E3652">
            <w:pPr>
              <w:rPr>
                <w:rFonts w:cstheme="minorHAnsi"/>
                <w:sz w:val="22"/>
                <w:szCs w:val="22"/>
              </w:rPr>
            </w:pPr>
            <w:r w:rsidRPr="006431E5">
              <w:rPr>
                <w:rFonts w:cstheme="minorHAnsi"/>
                <w:sz w:val="22"/>
                <w:szCs w:val="22"/>
                <w:lang w:val="en-IE"/>
              </w:rPr>
              <w:t>Many of the existing uses on the</w:t>
            </w:r>
            <w:r w:rsidR="3C9E8CE8" w:rsidRPr="006431E5">
              <w:rPr>
                <w:rFonts w:cstheme="minorHAnsi"/>
                <w:sz w:val="22"/>
                <w:szCs w:val="22"/>
                <w:lang w:val="en-IE"/>
              </w:rPr>
              <w:t>se</w:t>
            </w:r>
            <w:r w:rsidRPr="006431E5">
              <w:rPr>
                <w:rFonts w:cstheme="minorHAnsi"/>
                <w:sz w:val="22"/>
                <w:szCs w:val="22"/>
                <w:lang w:val="en-IE"/>
              </w:rPr>
              <w:t xml:space="preserve"> Z6 lands were long established, with many of the activities predating the applicatio</w:t>
            </w:r>
            <w:r w:rsidR="00FD295D" w:rsidRPr="006431E5">
              <w:rPr>
                <w:rFonts w:cstheme="minorHAnsi"/>
                <w:sz w:val="22"/>
                <w:szCs w:val="22"/>
                <w:lang w:val="en-IE"/>
              </w:rPr>
              <w:t xml:space="preserve">n of </w:t>
            </w:r>
            <w:r w:rsidR="00750342">
              <w:rPr>
                <w:rFonts w:cstheme="minorHAnsi"/>
                <w:sz w:val="22"/>
                <w:szCs w:val="22"/>
                <w:lang w:val="en-IE"/>
              </w:rPr>
              <w:t>current Development Plan</w:t>
            </w:r>
            <w:r w:rsidR="00FD295D" w:rsidRPr="006431E5">
              <w:rPr>
                <w:rFonts w:cstheme="minorHAnsi"/>
                <w:sz w:val="22"/>
                <w:szCs w:val="22"/>
                <w:lang w:val="en-IE"/>
              </w:rPr>
              <w:t xml:space="preserve"> policies/</w:t>
            </w:r>
            <w:r w:rsidRPr="006431E5">
              <w:rPr>
                <w:rFonts w:cstheme="minorHAnsi"/>
                <w:sz w:val="22"/>
                <w:szCs w:val="22"/>
                <w:lang w:val="en-IE"/>
              </w:rPr>
              <w:t xml:space="preserve">standards and best practice environmental protections (i.e. in terms of surface water run-off, traffic, waste energy, noise, emissions and light pollution etc.). </w:t>
            </w:r>
          </w:p>
          <w:p w14:paraId="67B159A1" w14:textId="69AEA7E3" w:rsidR="6508F772" w:rsidRPr="006431E5" w:rsidRDefault="03D94B68" w:rsidP="001E3652">
            <w:pPr>
              <w:rPr>
                <w:rFonts w:cstheme="minorHAnsi"/>
                <w:sz w:val="22"/>
                <w:szCs w:val="22"/>
              </w:rPr>
            </w:pPr>
            <w:r w:rsidRPr="006431E5">
              <w:rPr>
                <w:rFonts w:cstheme="minorHAnsi"/>
                <w:sz w:val="22"/>
                <w:szCs w:val="22"/>
                <w:lang w:val="en-IE"/>
              </w:rPr>
              <w:t>The proposed re</w:t>
            </w:r>
            <w:r w:rsidR="000313D1" w:rsidRPr="006431E5">
              <w:rPr>
                <w:rFonts w:cstheme="minorHAnsi"/>
                <w:sz w:val="22"/>
                <w:szCs w:val="22"/>
                <w:lang w:val="en-IE"/>
              </w:rPr>
              <w:t>-</w:t>
            </w:r>
            <w:r w:rsidRPr="006431E5">
              <w:rPr>
                <w:rFonts w:cstheme="minorHAnsi"/>
                <w:sz w:val="22"/>
                <w:szCs w:val="22"/>
                <w:lang w:val="en-IE"/>
              </w:rPr>
              <w:t xml:space="preserve">zoning of the </w:t>
            </w:r>
            <w:r w:rsidR="00197AA5">
              <w:rPr>
                <w:rFonts w:cstheme="minorHAnsi"/>
                <w:sz w:val="22"/>
                <w:szCs w:val="22"/>
                <w:lang w:val="en-IE"/>
              </w:rPr>
              <w:t>lands would shift the</w:t>
            </w:r>
            <w:r w:rsidRPr="006431E5">
              <w:rPr>
                <w:rFonts w:cstheme="minorHAnsi"/>
                <w:sz w:val="22"/>
                <w:szCs w:val="22"/>
                <w:lang w:val="en-IE"/>
              </w:rPr>
              <w:t xml:space="preserve"> </w:t>
            </w:r>
            <w:r w:rsidR="5E7590E3" w:rsidRPr="006431E5">
              <w:rPr>
                <w:rFonts w:cstheme="minorHAnsi"/>
                <w:sz w:val="22"/>
                <w:szCs w:val="22"/>
                <w:lang w:val="en-IE"/>
              </w:rPr>
              <w:t>p</w:t>
            </w:r>
            <w:r w:rsidRPr="006431E5">
              <w:rPr>
                <w:rFonts w:cstheme="minorHAnsi"/>
                <w:sz w:val="22"/>
                <w:szCs w:val="22"/>
                <w:lang w:val="en-IE"/>
              </w:rPr>
              <w:t xml:space="preserve">rimary focus from employment and enterprise, and facilitate </w:t>
            </w:r>
            <w:r w:rsidR="00750342">
              <w:rPr>
                <w:rFonts w:cstheme="minorHAnsi"/>
                <w:sz w:val="22"/>
                <w:szCs w:val="22"/>
                <w:lang w:val="en-IE"/>
              </w:rPr>
              <w:t>its</w:t>
            </w:r>
            <w:r w:rsidRPr="006431E5">
              <w:rPr>
                <w:rFonts w:cstheme="minorHAnsi"/>
                <w:sz w:val="22"/>
                <w:szCs w:val="22"/>
                <w:lang w:val="en-IE"/>
              </w:rPr>
              <w:t xml:space="preserve"> sustainable redevelopment in accordance with the operational policies, objectives and standards of </w:t>
            </w:r>
            <w:r w:rsidR="00750342">
              <w:rPr>
                <w:rFonts w:cstheme="minorHAnsi"/>
                <w:sz w:val="22"/>
                <w:szCs w:val="22"/>
                <w:lang w:val="en-IE"/>
              </w:rPr>
              <w:t>City Plan</w:t>
            </w:r>
            <w:r w:rsidRPr="006431E5">
              <w:rPr>
                <w:rFonts w:cstheme="minorHAnsi"/>
                <w:sz w:val="22"/>
                <w:szCs w:val="22"/>
                <w:lang w:val="en-IE"/>
              </w:rPr>
              <w:t xml:space="preserve"> which already safeguard against activities which may give rise to significant effects on the environment. </w:t>
            </w:r>
            <w:r w:rsidRPr="006431E5">
              <w:rPr>
                <w:rFonts w:cstheme="minorHAnsi"/>
                <w:sz w:val="22"/>
                <w:szCs w:val="22"/>
              </w:rPr>
              <w:t xml:space="preserve">The </w:t>
            </w:r>
            <w:r w:rsidR="00750342">
              <w:rPr>
                <w:rFonts w:cstheme="minorHAnsi"/>
                <w:sz w:val="22"/>
                <w:szCs w:val="22"/>
              </w:rPr>
              <w:t>Development Plan</w:t>
            </w:r>
            <w:r w:rsidRPr="006431E5">
              <w:rPr>
                <w:rFonts w:cstheme="minorHAnsi"/>
                <w:sz w:val="22"/>
                <w:szCs w:val="22"/>
              </w:rPr>
              <w:t xml:space="preserve"> includes the necessary policies, objectives and standards to ensure that no adverse impact will arise, singularly or in a cumulative manner. </w:t>
            </w:r>
          </w:p>
          <w:p w14:paraId="23F321C1" w14:textId="45E1F56E" w:rsidR="6508F772" w:rsidRPr="006431E5" w:rsidRDefault="03D94B68" w:rsidP="001E3652">
            <w:pPr>
              <w:rPr>
                <w:rFonts w:cstheme="minorHAnsi"/>
                <w:sz w:val="22"/>
                <w:szCs w:val="22"/>
              </w:rPr>
            </w:pPr>
            <w:r w:rsidRPr="006431E5">
              <w:rPr>
                <w:rFonts w:cstheme="minorHAnsi"/>
                <w:sz w:val="22"/>
                <w:szCs w:val="22"/>
              </w:rPr>
              <w:t xml:space="preserve">It is not considered that the proposed rezoning results in significant effects on the environment over and above any identified (and mitigated against) as part of the SEA of the Development Plan.  </w:t>
            </w:r>
          </w:p>
        </w:tc>
      </w:tr>
      <w:tr w:rsidR="6508F772" w:rsidRPr="006431E5" w14:paraId="34C03E1F" w14:textId="77777777" w:rsidTr="1B348B48">
        <w:tc>
          <w:tcPr>
            <w:tcW w:w="9030" w:type="dxa"/>
            <w:tcBorders>
              <w:left w:val="single" w:sz="6" w:space="0" w:color="auto"/>
              <w:bottom w:val="single" w:sz="6" w:space="0" w:color="auto"/>
              <w:right w:val="single" w:sz="6" w:space="0" w:color="auto"/>
            </w:tcBorders>
            <w:vAlign w:val="center"/>
          </w:tcPr>
          <w:p w14:paraId="3B9B36ED" w14:textId="00349B4F" w:rsidR="6508F772" w:rsidRPr="006431E5" w:rsidRDefault="03D94B68" w:rsidP="001E3652">
            <w:pPr>
              <w:rPr>
                <w:rFonts w:cstheme="minorHAnsi"/>
                <w:sz w:val="22"/>
                <w:szCs w:val="22"/>
              </w:rPr>
            </w:pPr>
            <w:r w:rsidRPr="006431E5">
              <w:rPr>
                <w:rFonts w:cstheme="minorHAnsi"/>
                <w:sz w:val="22"/>
                <w:szCs w:val="22"/>
              </w:rPr>
              <w:lastRenderedPageBreak/>
              <w:t xml:space="preserve"> </w:t>
            </w:r>
          </w:p>
        </w:tc>
      </w:tr>
      <w:tr w:rsidR="6508F772" w:rsidRPr="006431E5" w14:paraId="6A62D22E" w14:textId="77777777" w:rsidTr="00BD66DA">
        <w:trPr>
          <w:trHeight w:val="1414"/>
        </w:trPr>
        <w:tc>
          <w:tcPr>
            <w:tcW w:w="9030" w:type="dxa"/>
            <w:tcBorders>
              <w:left w:val="single" w:sz="6" w:space="0" w:color="auto"/>
              <w:bottom w:val="single" w:sz="6" w:space="0" w:color="auto"/>
              <w:right w:val="single" w:sz="6" w:space="0" w:color="auto"/>
            </w:tcBorders>
            <w:vAlign w:val="center"/>
          </w:tcPr>
          <w:p w14:paraId="0A421725" w14:textId="7433016B" w:rsidR="6508F772" w:rsidRPr="006431E5" w:rsidRDefault="03D94B68" w:rsidP="001E3652">
            <w:pPr>
              <w:rPr>
                <w:rFonts w:cstheme="minorHAnsi"/>
                <w:b/>
                <w:sz w:val="22"/>
                <w:szCs w:val="22"/>
              </w:rPr>
            </w:pPr>
            <w:r w:rsidRPr="006431E5">
              <w:rPr>
                <w:rFonts w:cstheme="minorHAnsi"/>
                <w:b/>
                <w:sz w:val="22"/>
                <w:szCs w:val="22"/>
              </w:rPr>
              <w:t>The transboundary nature of the effects.</w:t>
            </w:r>
          </w:p>
          <w:p w14:paraId="4B2B73AB" w14:textId="48E80853" w:rsidR="6508F772" w:rsidRPr="006431E5" w:rsidRDefault="03D94B68" w:rsidP="001E3652">
            <w:pPr>
              <w:rPr>
                <w:rFonts w:cstheme="minorHAnsi"/>
                <w:sz w:val="22"/>
                <w:szCs w:val="22"/>
              </w:rPr>
            </w:pPr>
            <w:r w:rsidRPr="006431E5">
              <w:rPr>
                <w:rFonts w:cstheme="minorHAnsi"/>
                <w:sz w:val="22"/>
                <w:szCs w:val="22"/>
              </w:rPr>
              <w:t>The proposed variation to the Development Plan will have no national, regional or inter-county transboundary effects, over and above the effects from the strategy, policie</w:t>
            </w:r>
            <w:r w:rsidR="00F135CA" w:rsidRPr="006431E5">
              <w:rPr>
                <w:rFonts w:cstheme="minorHAnsi"/>
                <w:sz w:val="22"/>
                <w:szCs w:val="22"/>
              </w:rPr>
              <w:t xml:space="preserve">s and objectives of the </w:t>
            </w:r>
            <w:r w:rsidRPr="006431E5">
              <w:rPr>
                <w:rFonts w:cstheme="minorHAnsi"/>
                <w:sz w:val="22"/>
                <w:szCs w:val="22"/>
              </w:rPr>
              <w:t xml:space="preserve">Development Plan. </w:t>
            </w:r>
          </w:p>
        </w:tc>
      </w:tr>
      <w:tr w:rsidR="6508F772" w:rsidRPr="006431E5" w14:paraId="1E7D2B82" w14:textId="77777777" w:rsidTr="00BD66DA">
        <w:trPr>
          <w:trHeight w:val="1075"/>
        </w:trPr>
        <w:tc>
          <w:tcPr>
            <w:tcW w:w="9030" w:type="dxa"/>
            <w:tcBorders>
              <w:left w:val="single" w:sz="6" w:space="0" w:color="auto"/>
              <w:bottom w:val="single" w:sz="6" w:space="0" w:color="auto"/>
              <w:right w:val="single" w:sz="6" w:space="0" w:color="auto"/>
            </w:tcBorders>
            <w:vAlign w:val="center"/>
          </w:tcPr>
          <w:p w14:paraId="603DEA3D" w14:textId="264AA31B" w:rsidR="6508F772" w:rsidRPr="006431E5" w:rsidRDefault="03D94B68" w:rsidP="001E3652">
            <w:pPr>
              <w:rPr>
                <w:rFonts w:cstheme="minorHAnsi"/>
                <w:b/>
                <w:sz w:val="22"/>
                <w:szCs w:val="22"/>
              </w:rPr>
            </w:pPr>
            <w:r w:rsidRPr="006431E5">
              <w:rPr>
                <w:rFonts w:cstheme="minorHAnsi"/>
                <w:b/>
                <w:sz w:val="22"/>
                <w:szCs w:val="22"/>
              </w:rPr>
              <w:lastRenderedPageBreak/>
              <w:t>The risks to human health or the environment (e.g. due to accidents).</w:t>
            </w:r>
          </w:p>
          <w:p w14:paraId="2F66043D" w14:textId="1D35B52C" w:rsidR="6508F772" w:rsidRPr="006431E5" w:rsidRDefault="03D94B68" w:rsidP="001E3652">
            <w:pPr>
              <w:rPr>
                <w:rFonts w:cstheme="minorHAnsi"/>
                <w:sz w:val="22"/>
                <w:szCs w:val="22"/>
              </w:rPr>
            </w:pPr>
            <w:r w:rsidRPr="006431E5">
              <w:rPr>
                <w:rFonts w:cstheme="minorHAnsi"/>
                <w:sz w:val="22"/>
                <w:szCs w:val="22"/>
              </w:rPr>
              <w:t>The proposed variation of the Plan will not result in any risks to human health.</w:t>
            </w:r>
          </w:p>
        </w:tc>
      </w:tr>
      <w:tr w:rsidR="6508F772" w:rsidRPr="006431E5" w14:paraId="09E4CBFC" w14:textId="77777777" w:rsidTr="1B348B48">
        <w:tc>
          <w:tcPr>
            <w:tcW w:w="9030" w:type="dxa"/>
            <w:tcBorders>
              <w:left w:val="single" w:sz="6" w:space="0" w:color="auto"/>
              <w:bottom w:val="single" w:sz="6" w:space="0" w:color="auto"/>
              <w:right w:val="single" w:sz="6" w:space="0" w:color="auto"/>
            </w:tcBorders>
            <w:vAlign w:val="center"/>
          </w:tcPr>
          <w:p w14:paraId="29BB40EE" w14:textId="4C3AC409" w:rsidR="6508F772" w:rsidRPr="006431E5" w:rsidRDefault="03D94B68" w:rsidP="001E3652">
            <w:pPr>
              <w:rPr>
                <w:rFonts w:cstheme="minorHAnsi"/>
                <w:b/>
                <w:sz w:val="22"/>
                <w:szCs w:val="22"/>
              </w:rPr>
            </w:pPr>
            <w:r w:rsidRPr="006431E5">
              <w:rPr>
                <w:rFonts w:cstheme="minorHAnsi"/>
                <w:b/>
                <w:sz w:val="22"/>
                <w:szCs w:val="22"/>
              </w:rPr>
              <w:t>The magnitude and spatial extent of the effects (geographical area and size of population likely to be affected).</w:t>
            </w:r>
          </w:p>
          <w:p w14:paraId="7D27F73F" w14:textId="7AD8B041" w:rsidR="6508F772" w:rsidRPr="006431E5" w:rsidRDefault="03D94B68" w:rsidP="00F135CA">
            <w:pPr>
              <w:rPr>
                <w:rFonts w:cstheme="minorHAnsi"/>
                <w:sz w:val="22"/>
                <w:szCs w:val="22"/>
              </w:rPr>
            </w:pPr>
            <w:r w:rsidRPr="006431E5">
              <w:rPr>
                <w:rFonts w:cstheme="minorHAnsi"/>
                <w:sz w:val="22"/>
                <w:szCs w:val="22"/>
              </w:rPr>
              <w:t xml:space="preserve">The proposed Variation comprises </w:t>
            </w:r>
            <w:r w:rsidR="1111438D" w:rsidRPr="006431E5">
              <w:rPr>
                <w:rFonts w:cstheme="minorHAnsi"/>
                <w:sz w:val="22"/>
                <w:szCs w:val="22"/>
              </w:rPr>
              <w:t xml:space="preserve">a </w:t>
            </w:r>
            <w:r w:rsidRPr="006431E5">
              <w:rPr>
                <w:rFonts w:cstheme="minorHAnsi"/>
                <w:sz w:val="22"/>
                <w:szCs w:val="22"/>
              </w:rPr>
              <w:t>local rezoning</w:t>
            </w:r>
            <w:r w:rsidR="00AA5516" w:rsidRPr="006431E5">
              <w:rPr>
                <w:rFonts w:cstheme="minorHAnsi"/>
                <w:sz w:val="22"/>
                <w:szCs w:val="22"/>
              </w:rPr>
              <w:t>, designation of a new SDRA</w:t>
            </w:r>
            <w:r w:rsidRPr="006431E5">
              <w:rPr>
                <w:rFonts w:cstheme="minorHAnsi"/>
                <w:sz w:val="22"/>
                <w:szCs w:val="22"/>
              </w:rPr>
              <w:t xml:space="preserve"> and </w:t>
            </w:r>
            <w:r w:rsidR="00AA5516" w:rsidRPr="006431E5">
              <w:rPr>
                <w:rFonts w:cstheme="minorHAnsi"/>
                <w:sz w:val="22"/>
                <w:szCs w:val="22"/>
              </w:rPr>
              <w:t xml:space="preserve">associated </w:t>
            </w:r>
            <w:r w:rsidRPr="006431E5">
              <w:rPr>
                <w:rFonts w:cstheme="minorHAnsi"/>
                <w:sz w:val="22"/>
                <w:szCs w:val="22"/>
              </w:rPr>
              <w:t>textual</w:t>
            </w:r>
            <w:r w:rsidR="00AA5516" w:rsidRPr="006431E5">
              <w:rPr>
                <w:rFonts w:cstheme="minorHAnsi"/>
                <w:sz w:val="22"/>
                <w:szCs w:val="22"/>
              </w:rPr>
              <w:t xml:space="preserve"> and graphic</w:t>
            </w:r>
            <w:r w:rsidRPr="006431E5">
              <w:rPr>
                <w:rFonts w:cstheme="minorHAnsi"/>
                <w:sz w:val="22"/>
                <w:szCs w:val="22"/>
              </w:rPr>
              <w:t xml:space="preserve"> change</w:t>
            </w:r>
            <w:r w:rsidR="00AA5516" w:rsidRPr="006431E5">
              <w:rPr>
                <w:rFonts w:cstheme="minorHAnsi"/>
                <w:sz w:val="22"/>
                <w:szCs w:val="22"/>
              </w:rPr>
              <w:t xml:space="preserve">s. </w:t>
            </w:r>
            <w:r w:rsidRPr="006431E5">
              <w:rPr>
                <w:rFonts w:cstheme="minorHAnsi"/>
                <w:sz w:val="22"/>
                <w:szCs w:val="22"/>
              </w:rPr>
              <w:t>The magnitude and spatial extent of the effects will not be over and above the effects from the strategy, policies and objectives of the current City Development Plan</w:t>
            </w:r>
          </w:p>
        </w:tc>
      </w:tr>
      <w:tr w:rsidR="6508F772" w:rsidRPr="006431E5" w14:paraId="39981F5C" w14:textId="77777777" w:rsidTr="006431E5">
        <w:trPr>
          <w:trHeight w:val="1970"/>
        </w:trPr>
        <w:tc>
          <w:tcPr>
            <w:tcW w:w="9030" w:type="dxa"/>
            <w:tcBorders>
              <w:left w:val="single" w:sz="6" w:space="0" w:color="auto"/>
              <w:bottom w:val="single" w:sz="6" w:space="0" w:color="auto"/>
              <w:right w:val="single" w:sz="6" w:space="0" w:color="auto"/>
            </w:tcBorders>
            <w:vAlign w:val="center"/>
          </w:tcPr>
          <w:p w14:paraId="6A94FD7A" w14:textId="35BBF7E5" w:rsidR="6508F772" w:rsidRPr="006431E5" w:rsidRDefault="03D94B68" w:rsidP="001E3652">
            <w:pPr>
              <w:rPr>
                <w:rFonts w:cstheme="minorHAnsi"/>
                <w:b/>
                <w:sz w:val="22"/>
                <w:szCs w:val="22"/>
              </w:rPr>
            </w:pPr>
            <w:r w:rsidRPr="006431E5">
              <w:rPr>
                <w:rFonts w:cstheme="minorHAnsi"/>
                <w:b/>
                <w:sz w:val="22"/>
                <w:szCs w:val="22"/>
              </w:rPr>
              <w:t>The value, and vulnerability of the area likely to be affected due to:</w:t>
            </w:r>
          </w:p>
          <w:p w14:paraId="4863629C" w14:textId="3B5FFDF9" w:rsidR="6508F772" w:rsidRPr="006431E5" w:rsidRDefault="03D94B68" w:rsidP="001E3652">
            <w:pPr>
              <w:pStyle w:val="ListParagraph"/>
              <w:numPr>
                <w:ilvl w:val="0"/>
                <w:numId w:val="4"/>
              </w:numPr>
              <w:rPr>
                <w:rFonts w:cstheme="minorHAnsi"/>
                <w:b/>
                <w:sz w:val="22"/>
                <w:szCs w:val="22"/>
              </w:rPr>
            </w:pPr>
            <w:r w:rsidRPr="006431E5">
              <w:rPr>
                <w:rFonts w:cstheme="minorHAnsi"/>
                <w:b/>
                <w:sz w:val="22"/>
                <w:szCs w:val="22"/>
              </w:rPr>
              <w:t>special natural characteristics or cultural heritage;</w:t>
            </w:r>
          </w:p>
          <w:p w14:paraId="18D075E1" w14:textId="601E6274" w:rsidR="61445C11" w:rsidRPr="006431E5" w:rsidRDefault="61445C11" w:rsidP="001E3652">
            <w:pPr>
              <w:rPr>
                <w:rFonts w:cstheme="minorHAnsi"/>
                <w:sz w:val="22"/>
                <w:szCs w:val="22"/>
              </w:rPr>
            </w:pPr>
            <w:r w:rsidRPr="006431E5">
              <w:rPr>
                <w:rFonts w:cstheme="minorHAnsi"/>
                <w:b/>
                <w:sz w:val="22"/>
                <w:szCs w:val="22"/>
              </w:rPr>
              <w:t>Built heritage:</w:t>
            </w:r>
            <w:r w:rsidRPr="006431E5">
              <w:rPr>
                <w:rFonts w:cstheme="minorHAnsi"/>
                <w:sz w:val="22"/>
                <w:szCs w:val="22"/>
              </w:rPr>
              <w:t xml:space="preserve"> No issues identified.</w:t>
            </w:r>
          </w:p>
          <w:p w14:paraId="3A628349" w14:textId="4CD41ECF" w:rsidR="61445C11" w:rsidRPr="006431E5" w:rsidRDefault="61445C11" w:rsidP="001E3652">
            <w:pPr>
              <w:rPr>
                <w:rFonts w:cstheme="minorHAnsi"/>
                <w:sz w:val="22"/>
                <w:szCs w:val="22"/>
              </w:rPr>
            </w:pPr>
            <w:r w:rsidRPr="006431E5">
              <w:rPr>
                <w:rFonts w:cstheme="minorHAnsi"/>
                <w:b/>
                <w:sz w:val="22"/>
                <w:szCs w:val="22"/>
              </w:rPr>
              <w:t>Archaeological heritage:</w:t>
            </w:r>
            <w:r w:rsidRPr="006431E5">
              <w:rPr>
                <w:rFonts w:cstheme="minorHAnsi"/>
                <w:sz w:val="22"/>
                <w:szCs w:val="22"/>
              </w:rPr>
              <w:t xml:space="preserve"> No issues identified.</w:t>
            </w:r>
          </w:p>
          <w:p w14:paraId="6B130001" w14:textId="2686E9AC" w:rsidR="61445C11" w:rsidRPr="006431E5" w:rsidRDefault="61445C11" w:rsidP="001E3652">
            <w:pPr>
              <w:rPr>
                <w:rFonts w:cstheme="minorHAnsi"/>
                <w:sz w:val="22"/>
                <w:szCs w:val="22"/>
              </w:rPr>
            </w:pPr>
            <w:r w:rsidRPr="006431E5">
              <w:rPr>
                <w:rFonts w:cstheme="minorHAnsi"/>
                <w:b/>
                <w:sz w:val="22"/>
                <w:szCs w:val="22"/>
              </w:rPr>
              <w:t>Biodiversity:</w:t>
            </w:r>
            <w:r w:rsidRPr="006431E5">
              <w:rPr>
                <w:rFonts w:cstheme="minorHAnsi"/>
                <w:sz w:val="22"/>
                <w:szCs w:val="22"/>
              </w:rPr>
              <w:t xml:space="preserve"> No issues identified.</w:t>
            </w:r>
          </w:p>
          <w:p w14:paraId="3AECBE06" w14:textId="77777777" w:rsidR="00D044D7" w:rsidRPr="006431E5" w:rsidRDefault="00A522ED" w:rsidP="001E3652">
            <w:pPr>
              <w:rPr>
                <w:rFonts w:cstheme="minorHAnsi"/>
                <w:b/>
                <w:sz w:val="22"/>
                <w:szCs w:val="22"/>
              </w:rPr>
            </w:pPr>
            <w:r w:rsidRPr="006431E5">
              <w:rPr>
                <w:rFonts w:cstheme="minorHAnsi"/>
                <w:b/>
                <w:sz w:val="22"/>
                <w:szCs w:val="22"/>
              </w:rPr>
              <w:t xml:space="preserve">Groundwater: </w:t>
            </w:r>
          </w:p>
          <w:p w14:paraId="2C342F79" w14:textId="17B4962F" w:rsidR="00A522ED" w:rsidRPr="006431E5" w:rsidRDefault="00A522ED" w:rsidP="001E3652">
            <w:pPr>
              <w:rPr>
                <w:rFonts w:cstheme="minorHAnsi"/>
                <w:sz w:val="22"/>
                <w:szCs w:val="22"/>
              </w:rPr>
            </w:pPr>
            <w:r w:rsidRPr="006431E5">
              <w:rPr>
                <w:rFonts w:cstheme="minorHAnsi"/>
                <w:sz w:val="22"/>
                <w:szCs w:val="22"/>
              </w:rPr>
              <w:t>The majority of the</w:t>
            </w:r>
            <w:r w:rsidR="000207E0" w:rsidRPr="006431E5">
              <w:rPr>
                <w:rFonts w:cstheme="minorHAnsi"/>
                <w:sz w:val="22"/>
                <w:szCs w:val="22"/>
              </w:rPr>
              <w:t xml:space="preserve"> subject</w:t>
            </w:r>
            <w:r w:rsidR="005A61BD">
              <w:rPr>
                <w:rFonts w:cstheme="minorHAnsi"/>
                <w:sz w:val="22"/>
                <w:szCs w:val="22"/>
              </w:rPr>
              <w:t xml:space="preserve"> lands have</w:t>
            </w:r>
            <w:r w:rsidRPr="006431E5">
              <w:rPr>
                <w:rFonts w:cstheme="minorHAnsi"/>
                <w:sz w:val="22"/>
                <w:szCs w:val="22"/>
              </w:rPr>
              <w:t xml:space="preserve"> a stated low groundwater </w:t>
            </w:r>
            <w:r w:rsidR="005F0B76" w:rsidRPr="006431E5">
              <w:rPr>
                <w:rFonts w:cstheme="minorHAnsi"/>
                <w:sz w:val="22"/>
                <w:szCs w:val="22"/>
              </w:rPr>
              <w:t>vulnerability (GSI). However, areas of moderate to high vulnerability in a north-west to south-e</w:t>
            </w:r>
            <w:r w:rsidR="005A61BD">
              <w:rPr>
                <w:rFonts w:cstheme="minorHAnsi"/>
                <w:sz w:val="22"/>
                <w:szCs w:val="22"/>
              </w:rPr>
              <w:t>ast direction exist</w:t>
            </w:r>
            <w:r w:rsidR="005F0B76" w:rsidRPr="006431E5">
              <w:rPr>
                <w:rFonts w:cstheme="minorHAnsi"/>
                <w:sz w:val="22"/>
                <w:szCs w:val="22"/>
              </w:rPr>
              <w:t>.</w:t>
            </w:r>
            <w:r w:rsidR="000207E0" w:rsidRPr="006431E5">
              <w:rPr>
                <w:rFonts w:cstheme="minorHAnsi"/>
                <w:sz w:val="22"/>
                <w:szCs w:val="22"/>
              </w:rPr>
              <w:t xml:space="preserve"> Ground water vulnerability is linked to water attenuation.</w:t>
            </w:r>
            <w:r w:rsidR="005F0B76" w:rsidRPr="006431E5">
              <w:rPr>
                <w:rFonts w:cstheme="minorHAnsi"/>
                <w:sz w:val="22"/>
                <w:szCs w:val="22"/>
              </w:rPr>
              <w:t xml:space="preserve"> In times of flooding, there is a higher risk for groundwater contamination</w:t>
            </w:r>
            <w:r w:rsidR="000207E0" w:rsidRPr="006431E5">
              <w:rPr>
                <w:rFonts w:cstheme="minorHAnsi"/>
                <w:sz w:val="22"/>
                <w:szCs w:val="22"/>
              </w:rPr>
              <w:t xml:space="preserve"> and potential contamination downstream</w:t>
            </w:r>
            <w:r w:rsidR="005F0B76" w:rsidRPr="006431E5">
              <w:rPr>
                <w:rFonts w:cstheme="minorHAnsi"/>
                <w:sz w:val="22"/>
                <w:szCs w:val="22"/>
              </w:rPr>
              <w:t xml:space="preserve">. </w:t>
            </w:r>
            <w:r w:rsidR="000207E0" w:rsidRPr="006431E5">
              <w:rPr>
                <w:rFonts w:cstheme="minorHAnsi"/>
                <w:sz w:val="22"/>
                <w:szCs w:val="22"/>
              </w:rPr>
              <w:t>In order to mitigate against this, a</w:t>
            </w:r>
            <w:r w:rsidR="005F0B76" w:rsidRPr="006431E5">
              <w:rPr>
                <w:rFonts w:cstheme="minorHAnsi"/>
                <w:sz w:val="22"/>
                <w:szCs w:val="22"/>
              </w:rPr>
              <w:t>ll</w:t>
            </w:r>
            <w:r w:rsidR="00695D8C" w:rsidRPr="006431E5">
              <w:rPr>
                <w:rFonts w:cstheme="minorHAnsi"/>
                <w:sz w:val="22"/>
                <w:szCs w:val="22"/>
              </w:rPr>
              <w:t xml:space="preserve"> proposed</w:t>
            </w:r>
            <w:r w:rsidR="005F0B76" w:rsidRPr="006431E5">
              <w:rPr>
                <w:rFonts w:cstheme="minorHAnsi"/>
                <w:sz w:val="22"/>
                <w:szCs w:val="22"/>
              </w:rPr>
              <w:t xml:space="preserve"> developments in this area would be subject to a </w:t>
            </w:r>
            <w:r w:rsidR="000207E0" w:rsidRPr="006431E5">
              <w:rPr>
                <w:rFonts w:cstheme="minorHAnsi"/>
                <w:sz w:val="22"/>
                <w:szCs w:val="22"/>
              </w:rPr>
              <w:t xml:space="preserve">detailed </w:t>
            </w:r>
            <w:r w:rsidR="005F0B76" w:rsidRPr="006431E5">
              <w:rPr>
                <w:rFonts w:cstheme="minorHAnsi"/>
                <w:b/>
                <w:sz w:val="22"/>
                <w:szCs w:val="22"/>
              </w:rPr>
              <w:t>surface water management strategy</w:t>
            </w:r>
            <w:r w:rsidR="005F0B76" w:rsidRPr="006431E5">
              <w:rPr>
                <w:rFonts w:cstheme="minorHAnsi"/>
                <w:sz w:val="22"/>
                <w:szCs w:val="22"/>
              </w:rPr>
              <w:t xml:space="preserve"> and associated </w:t>
            </w:r>
            <w:r w:rsidR="000207E0" w:rsidRPr="006431E5">
              <w:rPr>
                <w:rFonts w:cstheme="minorHAnsi"/>
                <w:sz w:val="22"/>
                <w:szCs w:val="22"/>
              </w:rPr>
              <w:t xml:space="preserve">infrastructure </w:t>
            </w:r>
            <w:r w:rsidR="005F0B76" w:rsidRPr="006431E5">
              <w:rPr>
                <w:rFonts w:cstheme="minorHAnsi"/>
                <w:sz w:val="22"/>
                <w:szCs w:val="22"/>
              </w:rPr>
              <w:t xml:space="preserve">upgrades (green infrastructure), which would slow down the movement of water. This will be explored further below. </w:t>
            </w:r>
          </w:p>
          <w:p w14:paraId="7CBC0FC7" w14:textId="3A905B68" w:rsidR="005F0B76" w:rsidRPr="006431E5" w:rsidRDefault="005F0B76" w:rsidP="001E3652">
            <w:pPr>
              <w:rPr>
                <w:rFonts w:cstheme="minorHAnsi"/>
                <w:sz w:val="22"/>
                <w:szCs w:val="22"/>
              </w:rPr>
            </w:pPr>
            <w:r w:rsidRPr="006431E5">
              <w:rPr>
                <w:rFonts w:cstheme="minorHAnsi"/>
                <w:sz w:val="22"/>
                <w:szCs w:val="22"/>
              </w:rPr>
              <w:t>A Strategic Flood Risk Assessment (SFRA) has also been prepared to acc</w:t>
            </w:r>
            <w:r w:rsidR="000207E0" w:rsidRPr="006431E5">
              <w:rPr>
                <w:rFonts w:cstheme="minorHAnsi"/>
                <w:sz w:val="22"/>
                <w:szCs w:val="22"/>
              </w:rPr>
              <w:t xml:space="preserve">ompany this proposed variation, which sets out these measures in more detail. </w:t>
            </w:r>
          </w:p>
          <w:p w14:paraId="6A120C55" w14:textId="77777777" w:rsidR="000207E0" w:rsidRPr="006431E5" w:rsidRDefault="0267E281" w:rsidP="001E3652">
            <w:pPr>
              <w:rPr>
                <w:rFonts w:cstheme="minorHAnsi"/>
                <w:b/>
                <w:sz w:val="22"/>
                <w:szCs w:val="22"/>
              </w:rPr>
            </w:pPr>
            <w:r w:rsidRPr="006431E5">
              <w:rPr>
                <w:rFonts w:cstheme="minorHAnsi"/>
                <w:b/>
                <w:sz w:val="22"/>
                <w:szCs w:val="22"/>
              </w:rPr>
              <w:t>F</w:t>
            </w:r>
            <w:r w:rsidR="00A522ED" w:rsidRPr="006431E5">
              <w:rPr>
                <w:rFonts w:cstheme="minorHAnsi"/>
                <w:b/>
                <w:sz w:val="22"/>
                <w:szCs w:val="22"/>
              </w:rPr>
              <w:t xml:space="preserve">looding and Surface Water </w:t>
            </w:r>
            <w:r w:rsidRPr="006431E5">
              <w:rPr>
                <w:rFonts w:cstheme="minorHAnsi"/>
                <w:b/>
                <w:sz w:val="22"/>
                <w:szCs w:val="22"/>
              </w:rPr>
              <w:t>Drainage</w:t>
            </w:r>
            <w:r w:rsidR="61445C11" w:rsidRPr="006431E5">
              <w:rPr>
                <w:rFonts w:cstheme="minorHAnsi"/>
                <w:b/>
                <w:sz w:val="22"/>
                <w:szCs w:val="22"/>
              </w:rPr>
              <w:t xml:space="preserve">: </w:t>
            </w:r>
          </w:p>
          <w:p w14:paraId="27756D81" w14:textId="08FAA596" w:rsidR="005F0B76" w:rsidRPr="006431E5" w:rsidRDefault="00A02368" w:rsidP="001E3652">
            <w:pPr>
              <w:rPr>
                <w:rFonts w:cstheme="minorHAnsi"/>
                <w:sz w:val="22"/>
                <w:szCs w:val="22"/>
              </w:rPr>
            </w:pPr>
            <w:r w:rsidRPr="006431E5">
              <w:rPr>
                <w:rFonts w:cstheme="minorHAnsi"/>
                <w:sz w:val="22"/>
                <w:szCs w:val="22"/>
              </w:rPr>
              <w:t xml:space="preserve">The lands subject to re-zoning are located within Flood Zone C. With the exception of the </w:t>
            </w:r>
            <w:proofErr w:type="spellStart"/>
            <w:r w:rsidRPr="006431E5">
              <w:rPr>
                <w:rFonts w:cstheme="minorHAnsi"/>
                <w:sz w:val="22"/>
                <w:szCs w:val="22"/>
              </w:rPr>
              <w:t>Tolka</w:t>
            </w:r>
            <w:proofErr w:type="spellEnd"/>
            <w:r w:rsidRPr="006431E5">
              <w:rPr>
                <w:rFonts w:cstheme="minorHAnsi"/>
                <w:sz w:val="22"/>
                <w:szCs w:val="22"/>
              </w:rPr>
              <w:t xml:space="preserve"> Valley, the </w:t>
            </w:r>
            <w:proofErr w:type="spellStart"/>
            <w:r w:rsidRPr="006431E5">
              <w:rPr>
                <w:rFonts w:cstheme="minorHAnsi"/>
                <w:sz w:val="22"/>
                <w:szCs w:val="22"/>
              </w:rPr>
              <w:t>Finglas</w:t>
            </w:r>
            <w:proofErr w:type="spellEnd"/>
            <w:r w:rsidRPr="006431E5">
              <w:rPr>
                <w:rFonts w:cstheme="minorHAnsi"/>
                <w:sz w:val="22"/>
                <w:szCs w:val="22"/>
              </w:rPr>
              <w:t xml:space="preserve"> area is situated within Flood Zone C. A number of tributaries flow into the </w:t>
            </w:r>
            <w:proofErr w:type="spellStart"/>
            <w:r w:rsidRPr="006431E5">
              <w:rPr>
                <w:rFonts w:cstheme="minorHAnsi"/>
                <w:sz w:val="22"/>
                <w:szCs w:val="22"/>
              </w:rPr>
              <w:t>Tolka</w:t>
            </w:r>
            <w:proofErr w:type="spellEnd"/>
            <w:r w:rsidRPr="006431E5">
              <w:rPr>
                <w:rFonts w:cstheme="minorHAnsi"/>
                <w:sz w:val="22"/>
                <w:szCs w:val="22"/>
              </w:rPr>
              <w:t xml:space="preserve"> River, including the </w:t>
            </w:r>
            <w:proofErr w:type="spellStart"/>
            <w:r w:rsidRPr="006431E5">
              <w:rPr>
                <w:rFonts w:cstheme="minorHAnsi"/>
                <w:sz w:val="22"/>
                <w:szCs w:val="22"/>
              </w:rPr>
              <w:t>Fingl</w:t>
            </w:r>
            <w:r w:rsidR="00281E42" w:rsidRPr="006431E5">
              <w:rPr>
                <w:rFonts w:cstheme="minorHAnsi"/>
                <w:sz w:val="22"/>
                <w:szCs w:val="22"/>
              </w:rPr>
              <w:t>as</w:t>
            </w:r>
            <w:proofErr w:type="spellEnd"/>
            <w:r w:rsidR="00281E42" w:rsidRPr="006431E5">
              <w:rPr>
                <w:rFonts w:cstheme="minorHAnsi"/>
                <w:sz w:val="22"/>
                <w:szCs w:val="22"/>
              </w:rPr>
              <w:t xml:space="preserve"> River, which is culverted, with its branch stream</w:t>
            </w:r>
            <w:r w:rsidRPr="006431E5">
              <w:rPr>
                <w:rFonts w:cstheme="minorHAnsi"/>
                <w:sz w:val="22"/>
                <w:szCs w:val="22"/>
              </w:rPr>
              <w:t xml:space="preserve"> p</w:t>
            </w:r>
            <w:r w:rsidR="00281E42" w:rsidRPr="006431E5">
              <w:rPr>
                <w:rFonts w:cstheme="minorHAnsi"/>
                <w:sz w:val="22"/>
                <w:szCs w:val="22"/>
              </w:rPr>
              <w:t>assing</w:t>
            </w:r>
            <w:r w:rsidRPr="006431E5">
              <w:rPr>
                <w:rFonts w:cstheme="minorHAnsi"/>
                <w:sz w:val="22"/>
                <w:szCs w:val="22"/>
              </w:rPr>
              <w:t xml:space="preserve"> through the north west of the site and Claremont Stream, which rises to the east of Jamestown R</w:t>
            </w:r>
            <w:r w:rsidR="005F0B76" w:rsidRPr="006431E5">
              <w:rPr>
                <w:rFonts w:cstheme="minorHAnsi"/>
                <w:sz w:val="22"/>
                <w:szCs w:val="22"/>
              </w:rPr>
              <w:t xml:space="preserve">oad (east of the subject </w:t>
            </w:r>
            <w:r w:rsidR="005A61BD">
              <w:rPr>
                <w:rFonts w:cstheme="minorHAnsi"/>
                <w:sz w:val="22"/>
                <w:szCs w:val="22"/>
              </w:rPr>
              <w:t>lands</w:t>
            </w:r>
            <w:r w:rsidR="005F0B76" w:rsidRPr="006431E5">
              <w:rPr>
                <w:rFonts w:cstheme="minorHAnsi"/>
                <w:sz w:val="22"/>
                <w:szCs w:val="22"/>
              </w:rPr>
              <w:t>).</w:t>
            </w:r>
          </w:p>
          <w:p w14:paraId="710E8C9B" w14:textId="1C6470D8" w:rsidR="005F0B76" w:rsidRPr="006431E5" w:rsidRDefault="005F0B76" w:rsidP="001E3652">
            <w:pPr>
              <w:rPr>
                <w:rFonts w:cstheme="minorHAnsi"/>
                <w:noProof/>
                <w:sz w:val="22"/>
                <w:szCs w:val="22"/>
                <w:lang w:eastAsia="en-IE"/>
              </w:rPr>
            </w:pPr>
            <w:r w:rsidRPr="006431E5">
              <w:rPr>
                <w:rFonts w:cstheme="minorHAnsi"/>
                <w:noProof/>
                <w:sz w:val="22"/>
                <w:szCs w:val="22"/>
                <w:lang w:eastAsia="en-IE"/>
              </w:rPr>
              <w:t xml:space="preserve">The </w:t>
            </w:r>
            <w:r w:rsidRPr="006431E5">
              <w:rPr>
                <w:rFonts w:cstheme="minorHAnsi"/>
                <w:b/>
                <w:noProof/>
                <w:sz w:val="22"/>
                <w:szCs w:val="22"/>
                <w:lang w:eastAsia="en-IE"/>
              </w:rPr>
              <w:t>Finglas River</w:t>
            </w:r>
            <w:r w:rsidRPr="006431E5">
              <w:rPr>
                <w:rFonts w:cstheme="minorHAnsi"/>
                <w:noProof/>
                <w:sz w:val="22"/>
                <w:szCs w:val="22"/>
                <w:lang w:eastAsia="en-IE"/>
              </w:rPr>
              <w:t xml:space="preserve"> rises beyond the M50 and enters Finglas along Cappagh Avenue and makes it way south-east via a culvert towards the roundabout where St. Margaret’s Road meets the North Road. Here it is joined by a </w:t>
            </w:r>
            <w:r w:rsidRPr="006431E5">
              <w:rPr>
                <w:rFonts w:cstheme="minorHAnsi"/>
                <w:b/>
                <w:noProof/>
                <w:sz w:val="22"/>
                <w:szCs w:val="22"/>
                <w:lang w:eastAsia="en-IE"/>
              </w:rPr>
              <w:t>branch stream</w:t>
            </w:r>
            <w:r w:rsidRPr="006431E5">
              <w:rPr>
                <w:rFonts w:cstheme="minorHAnsi"/>
                <w:noProof/>
                <w:sz w:val="22"/>
                <w:szCs w:val="22"/>
                <w:lang w:eastAsia="en-IE"/>
              </w:rPr>
              <w:t xml:space="preserve"> flowing south from the Charlestown area </w:t>
            </w:r>
            <w:r w:rsidRPr="006431E5">
              <w:rPr>
                <w:rFonts w:cstheme="minorHAnsi"/>
                <w:b/>
                <w:noProof/>
                <w:sz w:val="22"/>
                <w:szCs w:val="22"/>
                <w:lang w:eastAsia="en-IE"/>
              </w:rPr>
              <w:t xml:space="preserve">(which travels through the </w:t>
            </w:r>
            <w:r w:rsidR="00750342">
              <w:rPr>
                <w:rFonts w:cstheme="minorHAnsi"/>
                <w:b/>
                <w:noProof/>
                <w:sz w:val="22"/>
                <w:szCs w:val="22"/>
                <w:lang w:eastAsia="en-IE"/>
              </w:rPr>
              <w:t>north west part of the subject Z</w:t>
            </w:r>
            <w:r w:rsidRPr="006431E5">
              <w:rPr>
                <w:rFonts w:cstheme="minorHAnsi"/>
                <w:b/>
                <w:noProof/>
                <w:sz w:val="22"/>
                <w:szCs w:val="22"/>
                <w:lang w:eastAsia="en-IE"/>
              </w:rPr>
              <w:t>6 site).</w:t>
            </w:r>
            <w:r w:rsidRPr="006431E5">
              <w:rPr>
                <w:rFonts w:cstheme="minorHAnsi"/>
                <w:noProof/>
                <w:sz w:val="22"/>
                <w:szCs w:val="22"/>
                <w:lang w:eastAsia="en-IE"/>
              </w:rPr>
              <w:t xml:space="preserve">  The m</w:t>
            </w:r>
            <w:r w:rsidR="00750342">
              <w:rPr>
                <w:rFonts w:cstheme="minorHAnsi"/>
                <w:noProof/>
                <w:sz w:val="22"/>
                <w:szCs w:val="22"/>
                <w:lang w:eastAsia="en-IE"/>
              </w:rPr>
              <w:t xml:space="preserve">erged river continues south </w:t>
            </w:r>
            <w:r w:rsidRPr="006431E5">
              <w:rPr>
                <w:rFonts w:cstheme="minorHAnsi"/>
                <w:noProof/>
                <w:sz w:val="22"/>
                <w:szCs w:val="22"/>
                <w:lang w:eastAsia="en-IE"/>
              </w:rPr>
              <w:t xml:space="preserve">in an open chanel to the east of the Finglas Road within a heavy wooded strip of land to the west of Brookville/ North Road. Piped surface water outfalls from housing areas join it here and elsewhere along its </w:t>
            </w:r>
            <w:r w:rsidRPr="006431E5">
              <w:rPr>
                <w:rFonts w:cstheme="minorHAnsi"/>
                <w:noProof/>
                <w:sz w:val="22"/>
                <w:szCs w:val="22"/>
                <w:lang w:eastAsia="en-IE"/>
              </w:rPr>
              <w:lastRenderedPageBreak/>
              <w:t xml:space="preserve">course. The river re-enters a piped culvert, under the N2 and continues south along the western edge of the Finglas Road. On approaching Prospct Hill it crosses back to the east side of the Finglas Road and enteres an open chanel for c. 230metres. Here it is joined by two small tributeries flowing from Griffith Road and Glasnevn Downs. It then crosses back to the west side of Finglas Road at the Old Finglas Road junction, where it entres the </w:t>
            </w:r>
            <w:r w:rsidRPr="006431E5">
              <w:rPr>
                <w:rFonts w:cstheme="minorHAnsi"/>
                <w:b/>
                <w:noProof/>
                <w:sz w:val="22"/>
                <w:szCs w:val="22"/>
                <w:lang w:eastAsia="en-IE"/>
              </w:rPr>
              <w:t>Tolka River</w:t>
            </w:r>
            <w:r w:rsidRPr="006431E5">
              <w:rPr>
                <w:rFonts w:cstheme="minorHAnsi"/>
                <w:noProof/>
                <w:sz w:val="22"/>
                <w:szCs w:val="22"/>
                <w:lang w:eastAsia="en-IE"/>
              </w:rPr>
              <w:t xml:space="preserve">.  </w:t>
            </w:r>
          </w:p>
          <w:p w14:paraId="4014B115" w14:textId="6EAB6352" w:rsidR="00281E42" w:rsidRPr="006431E5" w:rsidRDefault="00EA33E7" w:rsidP="001E3652">
            <w:pPr>
              <w:rPr>
                <w:rFonts w:cstheme="minorHAnsi"/>
                <w:noProof/>
                <w:sz w:val="22"/>
                <w:szCs w:val="22"/>
                <w:lang w:eastAsia="en-IE"/>
              </w:rPr>
            </w:pPr>
            <w:r w:rsidRPr="006431E5">
              <w:rPr>
                <w:rFonts w:cstheme="minorHAnsi"/>
                <w:b/>
                <w:noProof/>
                <w:sz w:val="22"/>
                <w:szCs w:val="22"/>
                <w:lang w:eastAsia="en-IE"/>
              </w:rPr>
              <w:t>Claremont Stream</w:t>
            </w:r>
            <w:r w:rsidR="005F0B76" w:rsidRPr="006431E5">
              <w:rPr>
                <w:rFonts w:cstheme="minorHAnsi"/>
                <w:noProof/>
                <w:sz w:val="22"/>
                <w:szCs w:val="22"/>
                <w:lang w:eastAsia="en-IE"/>
              </w:rPr>
              <w:t xml:space="preserve"> rises to the east of Jamestown Road and travels east via a culvert across the Sycamore, Oakwood, Cedarwood area, towards Willow Park road, where it turns south parallel to Ballygall Road East, and into the grounds of St. Clare’s Hospital where it enters into an open chanel. South of these gounds it re-enters a chanel and continues south until it discharges into the </w:t>
            </w:r>
            <w:r w:rsidR="005F0B76" w:rsidRPr="006431E5">
              <w:rPr>
                <w:rFonts w:cstheme="minorHAnsi"/>
                <w:b/>
                <w:noProof/>
                <w:sz w:val="22"/>
                <w:szCs w:val="22"/>
                <w:lang w:eastAsia="en-IE"/>
              </w:rPr>
              <w:t>Tolka</w:t>
            </w:r>
            <w:r w:rsidR="00695D8C" w:rsidRPr="006431E5">
              <w:rPr>
                <w:rFonts w:cstheme="minorHAnsi"/>
                <w:b/>
                <w:noProof/>
                <w:sz w:val="22"/>
                <w:szCs w:val="22"/>
                <w:lang w:eastAsia="en-IE"/>
              </w:rPr>
              <w:t xml:space="preserve"> River</w:t>
            </w:r>
            <w:r w:rsidR="005F0B76" w:rsidRPr="006431E5">
              <w:rPr>
                <w:rFonts w:cstheme="minorHAnsi"/>
                <w:noProof/>
                <w:sz w:val="22"/>
                <w:szCs w:val="22"/>
                <w:lang w:eastAsia="en-IE"/>
              </w:rPr>
              <w:t xml:space="preserve"> at Glasnevin Bridge. </w:t>
            </w:r>
          </w:p>
          <w:p w14:paraId="0A9F6CF0" w14:textId="30DF074E" w:rsidR="00695D8C" w:rsidRPr="006431E5" w:rsidRDefault="00281E42" w:rsidP="001E3652">
            <w:pPr>
              <w:rPr>
                <w:rFonts w:cstheme="minorHAnsi"/>
                <w:sz w:val="22"/>
                <w:szCs w:val="22"/>
                <w:lang w:val="en-IE"/>
              </w:rPr>
            </w:pPr>
            <w:r w:rsidRPr="006431E5">
              <w:rPr>
                <w:rFonts w:cstheme="minorHAnsi"/>
                <w:sz w:val="22"/>
                <w:szCs w:val="22"/>
                <w:lang w:val="en-IE"/>
              </w:rPr>
              <w:t xml:space="preserve">The Jamestown Industrial estate lands subject to this proposed </w:t>
            </w:r>
            <w:r w:rsidR="00695D8C" w:rsidRPr="006431E5">
              <w:rPr>
                <w:rFonts w:cstheme="minorHAnsi"/>
                <w:sz w:val="22"/>
                <w:szCs w:val="22"/>
                <w:lang w:val="en-IE"/>
              </w:rPr>
              <w:t>re-zoning</w:t>
            </w:r>
            <w:r w:rsidRPr="006431E5">
              <w:rPr>
                <w:rFonts w:cstheme="minorHAnsi"/>
                <w:sz w:val="22"/>
                <w:szCs w:val="22"/>
                <w:lang w:val="en-IE"/>
              </w:rPr>
              <w:t xml:space="preserve"> will require new surface water sewer infrastructure separating surface water runoff from the combined sewer system. Most of the current drainage network is at or near capacity. </w:t>
            </w:r>
            <w:r w:rsidR="000207E0" w:rsidRPr="006431E5">
              <w:rPr>
                <w:rFonts w:cstheme="minorHAnsi"/>
                <w:sz w:val="22"/>
                <w:szCs w:val="22"/>
                <w:lang w:val="en-IE"/>
              </w:rPr>
              <w:t>A</w:t>
            </w:r>
            <w:r w:rsidRPr="006431E5">
              <w:rPr>
                <w:rFonts w:cstheme="minorHAnsi"/>
                <w:sz w:val="22"/>
                <w:szCs w:val="22"/>
                <w:lang w:val="en-IE"/>
              </w:rPr>
              <w:t xml:space="preserve">dditional surface water </w:t>
            </w:r>
            <w:r w:rsidR="000207E0" w:rsidRPr="006431E5">
              <w:rPr>
                <w:rFonts w:cstheme="minorHAnsi"/>
                <w:sz w:val="22"/>
                <w:szCs w:val="22"/>
                <w:lang w:val="en-IE"/>
              </w:rPr>
              <w:t>infrastructure will be required as part of future development opportunities</w:t>
            </w:r>
            <w:r w:rsidRPr="006431E5">
              <w:rPr>
                <w:rFonts w:cstheme="minorHAnsi"/>
                <w:sz w:val="22"/>
                <w:szCs w:val="22"/>
                <w:lang w:val="en-IE"/>
              </w:rPr>
              <w:t xml:space="preserve"> and potentially u</w:t>
            </w:r>
            <w:r w:rsidR="00695D8C" w:rsidRPr="006431E5">
              <w:rPr>
                <w:rFonts w:cstheme="minorHAnsi"/>
                <w:sz w:val="22"/>
                <w:szCs w:val="22"/>
                <w:lang w:val="en-IE"/>
              </w:rPr>
              <w:t>pgrades of the existing network. All future developments would be required to comply with</w:t>
            </w:r>
            <w:r w:rsidR="000207E0" w:rsidRPr="006431E5">
              <w:rPr>
                <w:rFonts w:cstheme="minorHAnsi"/>
                <w:sz w:val="22"/>
                <w:szCs w:val="22"/>
                <w:lang w:val="en-IE"/>
              </w:rPr>
              <w:t xml:space="preserve"> all such requirements, </w:t>
            </w:r>
            <w:r w:rsidR="00F135CA" w:rsidRPr="006431E5">
              <w:rPr>
                <w:rFonts w:cstheme="minorHAnsi"/>
                <w:sz w:val="22"/>
                <w:szCs w:val="22"/>
                <w:lang w:val="en-IE"/>
              </w:rPr>
              <w:t>including current</w:t>
            </w:r>
            <w:r w:rsidR="00695D8C" w:rsidRPr="006431E5">
              <w:rPr>
                <w:rFonts w:cstheme="minorHAnsi"/>
                <w:sz w:val="22"/>
                <w:szCs w:val="22"/>
                <w:lang w:val="en-IE"/>
              </w:rPr>
              <w:t xml:space="preserve"> Development Plan policies </w:t>
            </w:r>
            <w:r w:rsidR="000207E0" w:rsidRPr="006431E5">
              <w:rPr>
                <w:rFonts w:cstheme="minorHAnsi"/>
                <w:sz w:val="22"/>
                <w:szCs w:val="22"/>
                <w:lang w:val="en-IE"/>
              </w:rPr>
              <w:t>and objectives, including</w:t>
            </w:r>
            <w:r w:rsidR="00695D8C" w:rsidRPr="006431E5">
              <w:rPr>
                <w:rFonts w:cstheme="minorHAnsi"/>
                <w:sz w:val="22"/>
                <w:szCs w:val="22"/>
                <w:lang w:val="en-IE"/>
              </w:rPr>
              <w:t xml:space="preserve"> the requirements of </w:t>
            </w:r>
            <w:r w:rsidR="000207E0" w:rsidRPr="006431E5">
              <w:rPr>
                <w:rFonts w:cstheme="minorHAnsi"/>
                <w:sz w:val="22"/>
                <w:szCs w:val="22"/>
                <w:lang w:val="en-IE"/>
              </w:rPr>
              <w:t xml:space="preserve">the Water Framework Directive in terms of improving water quality.  </w:t>
            </w:r>
          </w:p>
          <w:p w14:paraId="096FF1E9" w14:textId="45A1D3FE" w:rsidR="00281E42" w:rsidRPr="006431E5" w:rsidRDefault="00281E42" w:rsidP="001E3652">
            <w:pPr>
              <w:rPr>
                <w:rFonts w:cstheme="minorHAnsi"/>
                <w:noProof/>
                <w:sz w:val="22"/>
                <w:szCs w:val="22"/>
                <w:lang w:eastAsia="en-IE"/>
              </w:rPr>
            </w:pPr>
            <w:r w:rsidRPr="006431E5">
              <w:rPr>
                <w:rFonts w:cstheme="minorHAnsi"/>
                <w:noProof/>
                <w:sz w:val="22"/>
                <w:szCs w:val="22"/>
                <w:lang w:eastAsia="en-IE"/>
              </w:rPr>
              <w:t>Due to issues of topography, ground water vulnerability and capacity constrains within the existing network</w:t>
            </w:r>
            <w:r w:rsidR="000207E0" w:rsidRPr="006431E5">
              <w:rPr>
                <w:rFonts w:cstheme="minorHAnsi"/>
                <w:noProof/>
                <w:sz w:val="22"/>
                <w:szCs w:val="22"/>
                <w:lang w:eastAsia="en-IE"/>
              </w:rPr>
              <w:t>,</w:t>
            </w:r>
            <w:r w:rsidRPr="006431E5">
              <w:rPr>
                <w:rFonts w:cstheme="minorHAnsi"/>
                <w:noProof/>
                <w:sz w:val="22"/>
                <w:szCs w:val="22"/>
                <w:lang w:eastAsia="en-IE"/>
              </w:rPr>
              <w:t xml:space="preserve"> all future developments will be required to cater for a 10 year flood on site and </w:t>
            </w:r>
            <w:r w:rsidRPr="006431E5">
              <w:rPr>
                <w:rFonts w:cstheme="minorHAnsi"/>
                <w:sz w:val="22"/>
                <w:szCs w:val="22"/>
              </w:rPr>
              <w:t xml:space="preserve">to intercept the first 25mm rainfall in over ground </w:t>
            </w:r>
            <w:proofErr w:type="spellStart"/>
            <w:r w:rsidRPr="006431E5">
              <w:rPr>
                <w:rFonts w:cstheme="minorHAnsi"/>
                <w:sz w:val="22"/>
                <w:szCs w:val="22"/>
              </w:rPr>
              <w:t>SuDS</w:t>
            </w:r>
            <w:proofErr w:type="spellEnd"/>
            <w:r w:rsidRPr="006431E5">
              <w:rPr>
                <w:rFonts w:cstheme="minorHAnsi"/>
                <w:sz w:val="22"/>
                <w:szCs w:val="22"/>
              </w:rPr>
              <w:t>/Green Infrastructure features.</w:t>
            </w:r>
          </w:p>
          <w:p w14:paraId="257515B8" w14:textId="13F3CE4E" w:rsidR="00281E42" w:rsidRPr="006431E5" w:rsidRDefault="00281E42" w:rsidP="001E3652">
            <w:pPr>
              <w:rPr>
                <w:rFonts w:cstheme="minorHAnsi"/>
                <w:b/>
                <w:sz w:val="22"/>
                <w:szCs w:val="22"/>
              </w:rPr>
            </w:pPr>
            <w:r w:rsidRPr="006431E5">
              <w:rPr>
                <w:rFonts w:cstheme="minorHAnsi"/>
                <w:b/>
                <w:sz w:val="22"/>
                <w:szCs w:val="22"/>
              </w:rPr>
              <w:t xml:space="preserve">Summary of surface water requirements: </w:t>
            </w:r>
          </w:p>
          <w:p w14:paraId="0B3E42A8" w14:textId="54C16C98" w:rsidR="00D044D7" w:rsidRPr="006431E5" w:rsidRDefault="00D044D7" w:rsidP="001E3652">
            <w:pPr>
              <w:rPr>
                <w:rFonts w:cstheme="minorHAnsi"/>
                <w:sz w:val="22"/>
                <w:szCs w:val="22"/>
              </w:rPr>
            </w:pPr>
            <w:r w:rsidRPr="006431E5">
              <w:rPr>
                <w:rFonts w:cstheme="minorHAnsi"/>
                <w:sz w:val="22"/>
                <w:szCs w:val="22"/>
              </w:rPr>
              <w:t xml:space="preserve">Having regard to the above issues, and the accompanying SFRA, the following measures would be implemented as part of future development </w:t>
            </w:r>
            <w:r w:rsidR="000207E0" w:rsidRPr="006431E5">
              <w:rPr>
                <w:rFonts w:cstheme="minorHAnsi"/>
                <w:sz w:val="22"/>
                <w:szCs w:val="22"/>
              </w:rPr>
              <w:t>proposals</w:t>
            </w:r>
            <w:r w:rsidR="00197AA5">
              <w:rPr>
                <w:rFonts w:cstheme="minorHAnsi"/>
                <w:sz w:val="22"/>
                <w:szCs w:val="22"/>
              </w:rPr>
              <w:t xml:space="preserve"> on the subject lands</w:t>
            </w:r>
            <w:r w:rsidRPr="006431E5">
              <w:rPr>
                <w:rFonts w:cstheme="minorHAnsi"/>
                <w:sz w:val="22"/>
                <w:szCs w:val="22"/>
              </w:rPr>
              <w:t xml:space="preserve">, which is considered will considerably reduce the likelihood of pollution events due to surface water runoff / ground water contamination. </w:t>
            </w:r>
          </w:p>
          <w:p w14:paraId="42084D1C" w14:textId="5A18241B" w:rsidR="00281E42" w:rsidRPr="006431E5" w:rsidRDefault="00281E42" w:rsidP="001E3652">
            <w:pPr>
              <w:pStyle w:val="ListParagraph"/>
              <w:numPr>
                <w:ilvl w:val="0"/>
                <w:numId w:val="10"/>
              </w:numPr>
              <w:rPr>
                <w:rFonts w:cstheme="minorHAnsi"/>
                <w:sz w:val="22"/>
                <w:szCs w:val="22"/>
                <w:u w:val="single"/>
              </w:rPr>
            </w:pPr>
            <w:r w:rsidRPr="006431E5">
              <w:rPr>
                <w:rFonts w:cstheme="minorHAnsi"/>
                <w:sz w:val="22"/>
                <w:szCs w:val="22"/>
              </w:rPr>
              <w:t xml:space="preserve">All new development shall implement a </w:t>
            </w:r>
            <w:proofErr w:type="spellStart"/>
            <w:r w:rsidR="00F135CA" w:rsidRPr="006431E5">
              <w:rPr>
                <w:rFonts w:cstheme="minorHAnsi"/>
                <w:sz w:val="22"/>
                <w:szCs w:val="22"/>
              </w:rPr>
              <w:t>SuDS</w:t>
            </w:r>
            <w:proofErr w:type="spellEnd"/>
            <w:r w:rsidRPr="006431E5">
              <w:rPr>
                <w:rFonts w:cstheme="minorHAnsi"/>
                <w:sz w:val="22"/>
                <w:szCs w:val="22"/>
              </w:rPr>
              <w:t xml:space="preserve"> approach, which would deliver benefits for the whole community in terms of biodiversity, climate management, learning, wellbeing and recreation to provide resilient communities in this urbanised area. Therefore, managing surface water in a sustainable way will contribute to providing quality places to live and sustainable communities. </w:t>
            </w:r>
          </w:p>
          <w:p w14:paraId="6B2E854F" w14:textId="77777777" w:rsidR="00281E42" w:rsidRPr="006431E5" w:rsidRDefault="00281E42" w:rsidP="001E3652">
            <w:pPr>
              <w:pStyle w:val="ListParagraph"/>
              <w:numPr>
                <w:ilvl w:val="0"/>
                <w:numId w:val="10"/>
              </w:numPr>
              <w:rPr>
                <w:rFonts w:cstheme="minorHAnsi"/>
                <w:sz w:val="22"/>
                <w:szCs w:val="22"/>
                <w:u w:val="single"/>
              </w:rPr>
            </w:pPr>
            <w:r w:rsidRPr="006431E5">
              <w:rPr>
                <w:rFonts w:cstheme="minorHAnsi"/>
                <w:sz w:val="22"/>
                <w:szCs w:val="22"/>
                <w:lang w:val="en-IE"/>
              </w:rPr>
              <w:t xml:space="preserve">New development shall implement green infrastructure in an integrated way and take advantage of opportunities such as green roofs.  </w:t>
            </w:r>
          </w:p>
          <w:p w14:paraId="59BE687C" w14:textId="6B45D866" w:rsidR="00281E42" w:rsidRPr="006431E5" w:rsidRDefault="00281E42" w:rsidP="001E3652">
            <w:pPr>
              <w:pStyle w:val="ListParagraph"/>
              <w:numPr>
                <w:ilvl w:val="0"/>
                <w:numId w:val="10"/>
              </w:numPr>
              <w:rPr>
                <w:rFonts w:cstheme="minorHAnsi"/>
                <w:sz w:val="22"/>
                <w:szCs w:val="22"/>
                <w:u w:val="single"/>
              </w:rPr>
            </w:pPr>
            <w:r w:rsidRPr="006431E5">
              <w:rPr>
                <w:rFonts w:cstheme="minorHAnsi"/>
                <w:sz w:val="22"/>
                <w:szCs w:val="22"/>
                <w:lang w:val="en-IE"/>
              </w:rPr>
              <w:t>Th</w:t>
            </w:r>
            <w:r w:rsidR="00641837">
              <w:rPr>
                <w:rFonts w:cstheme="minorHAnsi"/>
                <w:sz w:val="22"/>
                <w:szCs w:val="22"/>
                <w:lang w:val="en-IE"/>
              </w:rPr>
              <w:t>e build-out of the lands</w:t>
            </w:r>
            <w:r w:rsidRPr="006431E5">
              <w:rPr>
                <w:rFonts w:cstheme="minorHAnsi"/>
                <w:sz w:val="22"/>
                <w:szCs w:val="22"/>
                <w:lang w:val="en-IE"/>
              </w:rPr>
              <w:t xml:space="preserve">, public open spaces and roads affords the opportunity to implement source control and site control techniques to reduce the volume and increase the quality of surface water outflow through careful planning of these multifunctional spaces.  </w:t>
            </w:r>
          </w:p>
          <w:p w14:paraId="6068F5F6" w14:textId="77777777" w:rsidR="00281E42" w:rsidRPr="006431E5" w:rsidRDefault="00281E42" w:rsidP="001E3652">
            <w:pPr>
              <w:pStyle w:val="ListParagraph"/>
              <w:numPr>
                <w:ilvl w:val="0"/>
                <w:numId w:val="10"/>
              </w:numPr>
              <w:rPr>
                <w:rFonts w:cstheme="minorHAnsi"/>
                <w:sz w:val="22"/>
                <w:szCs w:val="22"/>
                <w:u w:val="single"/>
              </w:rPr>
            </w:pPr>
            <w:r w:rsidRPr="006431E5">
              <w:rPr>
                <w:rFonts w:cstheme="minorHAnsi"/>
                <w:sz w:val="22"/>
                <w:szCs w:val="22"/>
                <w:lang w:val="en-IE"/>
              </w:rPr>
              <w:lastRenderedPageBreak/>
              <w:t>Development of private external spaces, streets and public places shall take the opportunity to make sustainable design such as green infrastructure and sustainable drainage an integral part of design.</w:t>
            </w:r>
          </w:p>
          <w:p w14:paraId="19B69D9F" w14:textId="1F9C386D" w:rsidR="00281E42" w:rsidRPr="006431E5" w:rsidRDefault="00641837" w:rsidP="001E3652">
            <w:pPr>
              <w:pStyle w:val="ListParagraph"/>
              <w:numPr>
                <w:ilvl w:val="0"/>
                <w:numId w:val="10"/>
              </w:numPr>
              <w:rPr>
                <w:rFonts w:cstheme="minorHAnsi"/>
                <w:sz w:val="22"/>
                <w:szCs w:val="22"/>
                <w:u w:val="single"/>
              </w:rPr>
            </w:pPr>
            <w:r>
              <w:rPr>
                <w:rFonts w:cstheme="minorHAnsi"/>
                <w:sz w:val="22"/>
                <w:szCs w:val="22"/>
                <w:lang w:val="en-IE"/>
              </w:rPr>
              <w:t>The development of the lands</w:t>
            </w:r>
            <w:r w:rsidR="00281E42" w:rsidRPr="006431E5">
              <w:rPr>
                <w:rFonts w:cstheme="minorHAnsi"/>
                <w:sz w:val="22"/>
                <w:szCs w:val="22"/>
                <w:lang w:val="en-IE"/>
              </w:rPr>
              <w:t xml:space="preserve"> shall allow for the control of outflow to the River </w:t>
            </w:r>
            <w:proofErr w:type="spellStart"/>
            <w:r w:rsidR="00281E42" w:rsidRPr="006431E5">
              <w:rPr>
                <w:rFonts w:cstheme="minorHAnsi"/>
                <w:sz w:val="22"/>
                <w:szCs w:val="22"/>
                <w:lang w:val="en-IE"/>
              </w:rPr>
              <w:t>Tolka</w:t>
            </w:r>
            <w:proofErr w:type="spellEnd"/>
            <w:r w:rsidR="00281E42" w:rsidRPr="006431E5">
              <w:rPr>
                <w:rFonts w:cstheme="minorHAnsi"/>
                <w:sz w:val="22"/>
                <w:szCs w:val="22"/>
                <w:lang w:val="en-IE"/>
              </w:rPr>
              <w:t>, with surface water discharges limited to 0-2l/s/ha for the 1 in 100-year storm event, plus 20%</w:t>
            </w:r>
            <w:r w:rsidR="009A4C15">
              <w:rPr>
                <w:rFonts w:cstheme="minorHAnsi"/>
                <w:sz w:val="22"/>
                <w:szCs w:val="22"/>
                <w:lang w:val="en-IE"/>
              </w:rPr>
              <w:t>-</w:t>
            </w:r>
            <w:r w:rsidR="00281E42" w:rsidRPr="006431E5">
              <w:rPr>
                <w:rFonts w:cstheme="minorHAnsi"/>
                <w:sz w:val="22"/>
                <w:szCs w:val="22"/>
                <w:lang w:val="en-IE"/>
              </w:rPr>
              <w:t>30% addition for climate change for any proposed development.</w:t>
            </w:r>
          </w:p>
          <w:p w14:paraId="4DA7CEB2" w14:textId="4A27C6E2" w:rsidR="00281E42" w:rsidRPr="006431E5" w:rsidRDefault="00281E42" w:rsidP="001E3652">
            <w:pPr>
              <w:pStyle w:val="ListParagraph"/>
              <w:numPr>
                <w:ilvl w:val="0"/>
                <w:numId w:val="10"/>
              </w:numPr>
              <w:rPr>
                <w:rFonts w:cstheme="minorHAnsi"/>
                <w:sz w:val="22"/>
                <w:szCs w:val="22"/>
                <w:u w:val="single"/>
              </w:rPr>
            </w:pPr>
            <w:r w:rsidRPr="006431E5">
              <w:rPr>
                <w:rFonts w:cstheme="minorHAnsi"/>
                <w:sz w:val="22"/>
                <w:szCs w:val="22"/>
                <w:lang w:val="en-IE"/>
              </w:rPr>
              <w:t>Opportunities to de</w:t>
            </w:r>
            <w:r w:rsidR="00D044D7" w:rsidRPr="006431E5">
              <w:rPr>
                <w:rFonts w:cstheme="minorHAnsi"/>
                <w:sz w:val="22"/>
                <w:szCs w:val="22"/>
                <w:lang w:val="en-IE"/>
              </w:rPr>
              <w:t>-</w:t>
            </w:r>
            <w:r w:rsidRPr="006431E5">
              <w:rPr>
                <w:rFonts w:cstheme="minorHAnsi"/>
                <w:sz w:val="22"/>
                <w:szCs w:val="22"/>
                <w:lang w:val="en-IE"/>
              </w:rPr>
              <w:t xml:space="preserve">culvert or ‘daylight’ existing watercourses including the </w:t>
            </w:r>
            <w:proofErr w:type="spellStart"/>
            <w:r w:rsidRPr="006431E5">
              <w:rPr>
                <w:rFonts w:cstheme="minorHAnsi"/>
                <w:sz w:val="22"/>
                <w:szCs w:val="22"/>
                <w:lang w:val="en-IE"/>
              </w:rPr>
              <w:t>Finglas</w:t>
            </w:r>
            <w:proofErr w:type="spellEnd"/>
            <w:r w:rsidRPr="006431E5">
              <w:rPr>
                <w:rFonts w:cstheme="minorHAnsi"/>
                <w:sz w:val="22"/>
                <w:szCs w:val="22"/>
                <w:lang w:val="en-IE"/>
              </w:rPr>
              <w:t xml:space="preserve"> River, as it passes through the subject site proposed for re-zoning shall be investigated as part of new development proposals.</w:t>
            </w:r>
          </w:p>
          <w:p w14:paraId="1B0A674E" w14:textId="1EC9B163" w:rsidR="00281E42" w:rsidRPr="006431E5" w:rsidRDefault="00641837" w:rsidP="001E3652">
            <w:pPr>
              <w:pStyle w:val="ListParagraph"/>
              <w:numPr>
                <w:ilvl w:val="0"/>
                <w:numId w:val="10"/>
              </w:numPr>
              <w:rPr>
                <w:rFonts w:cstheme="minorHAnsi"/>
                <w:sz w:val="22"/>
                <w:szCs w:val="22"/>
                <w:u w:val="single"/>
              </w:rPr>
            </w:pPr>
            <w:r>
              <w:rPr>
                <w:rFonts w:cstheme="minorHAnsi"/>
                <w:sz w:val="22"/>
                <w:szCs w:val="22"/>
                <w:lang w:val="en-IE"/>
              </w:rPr>
              <w:t>The development of the lands</w:t>
            </w:r>
            <w:r w:rsidR="00281E42" w:rsidRPr="006431E5">
              <w:rPr>
                <w:rFonts w:cstheme="minorHAnsi"/>
                <w:sz w:val="22"/>
                <w:szCs w:val="22"/>
                <w:lang w:val="en-IE"/>
              </w:rPr>
              <w:t xml:space="preserve"> shall afford the opportunity to build further resilience into the surface water drainage network. </w:t>
            </w:r>
          </w:p>
          <w:p w14:paraId="1511CD93" w14:textId="6FC59C49" w:rsidR="1B348B48" w:rsidRPr="006431E5" w:rsidRDefault="00281E42" w:rsidP="001E3652">
            <w:pPr>
              <w:pStyle w:val="ListParagraph"/>
              <w:numPr>
                <w:ilvl w:val="0"/>
                <w:numId w:val="10"/>
              </w:numPr>
              <w:rPr>
                <w:rFonts w:cstheme="minorHAnsi"/>
                <w:sz w:val="22"/>
                <w:szCs w:val="22"/>
                <w:u w:val="single"/>
              </w:rPr>
            </w:pPr>
            <w:r w:rsidRPr="006431E5">
              <w:rPr>
                <w:rFonts w:cstheme="minorHAnsi"/>
                <w:sz w:val="22"/>
                <w:szCs w:val="22"/>
              </w:rPr>
              <w:t>In order to service the proposed de</w:t>
            </w:r>
            <w:r w:rsidR="00641837">
              <w:rPr>
                <w:rFonts w:cstheme="minorHAnsi"/>
                <w:sz w:val="22"/>
                <w:szCs w:val="22"/>
              </w:rPr>
              <w:t>velopment plots on the subject lands</w:t>
            </w:r>
            <w:r w:rsidRPr="006431E5">
              <w:rPr>
                <w:rFonts w:cstheme="minorHAnsi"/>
                <w:sz w:val="22"/>
                <w:szCs w:val="22"/>
              </w:rPr>
              <w:t>, additional surface water, mainly green infrastructure will be required.</w:t>
            </w:r>
          </w:p>
          <w:p w14:paraId="21AC47A0" w14:textId="4B1CF8AB" w:rsidR="6508F772" w:rsidRPr="006431E5" w:rsidRDefault="03D94B68" w:rsidP="001E3652">
            <w:pPr>
              <w:pStyle w:val="ListParagraph"/>
              <w:numPr>
                <w:ilvl w:val="0"/>
                <w:numId w:val="4"/>
              </w:numPr>
              <w:rPr>
                <w:rFonts w:cstheme="minorHAnsi"/>
                <w:b/>
                <w:sz w:val="22"/>
                <w:szCs w:val="22"/>
              </w:rPr>
            </w:pPr>
            <w:r w:rsidRPr="006431E5">
              <w:rPr>
                <w:rFonts w:cstheme="minorHAnsi"/>
                <w:b/>
                <w:sz w:val="22"/>
                <w:szCs w:val="22"/>
              </w:rPr>
              <w:t>exceeded environmental quality standards or limit values;</w:t>
            </w:r>
          </w:p>
          <w:p w14:paraId="68330F11" w14:textId="6BBEBADE" w:rsidR="713B7102" w:rsidRPr="006431E5" w:rsidRDefault="713B7102" w:rsidP="001E3652">
            <w:pPr>
              <w:rPr>
                <w:rFonts w:cstheme="minorHAnsi"/>
                <w:sz w:val="22"/>
                <w:szCs w:val="22"/>
              </w:rPr>
            </w:pPr>
            <w:r w:rsidRPr="006431E5">
              <w:rPr>
                <w:rFonts w:cstheme="minorHAnsi"/>
                <w:sz w:val="22"/>
                <w:szCs w:val="22"/>
              </w:rPr>
              <w:t xml:space="preserve">It is not expected that any environmental quality </w:t>
            </w:r>
            <w:bookmarkStart w:id="18" w:name="_GoBack"/>
            <w:bookmarkEnd w:id="18"/>
            <w:r w:rsidRPr="006431E5">
              <w:rPr>
                <w:rFonts w:cstheme="minorHAnsi"/>
                <w:sz w:val="22"/>
                <w:szCs w:val="22"/>
              </w:rPr>
              <w:t>standards will be exceeded or that the value of vulnerable areas limited as a result of this Plan.</w:t>
            </w:r>
          </w:p>
          <w:p w14:paraId="26D41BCE" w14:textId="65202F75" w:rsidR="6508F772" w:rsidRPr="006431E5" w:rsidRDefault="03D94B68" w:rsidP="001E3652">
            <w:pPr>
              <w:pStyle w:val="ListParagraph"/>
              <w:numPr>
                <w:ilvl w:val="0"/>
                <w:numId w:val="4"/>
              </w:numPr>
              <w:rPr>
                <w:rFonts w:cstheme="minorHAnsi"/>
                <w:b/>
                <w:sz w:val="22"/>
                <w:szCs w:val="22"/>
              </w:rPr>
            </w:pPr>
            <w:r w:rsidRPr="006431E5">
              <w:rPr>
                <w:rFonts w:cstheme="minorHAnsi"/>
                <w:b/>
                <w:sz w:val="22"/>
                <w:szCs w:val="22"/>
              </w:rPr>
              <w:t>intensive land use</w:t>
            </w:r>
          </w:p>
          <w:p w14:paraId="18C85919" w14:textId="77E11420" w:rsidR="000C5EB4" w:rsidRDefault="000C5EB4" w:rsidP="000C5EB4">
            <w:r w:rsidRPr="006431E5">
              <w:t>The Core Strategy of the Development Plan includes policies and objectives which seek to facilitate population and economic growth, increase densities and consolidate and intensify land uses within the administrative area of the City Council.</w:t>
            </w:r>
            <w:r>
              <w:t xml:space="preserve"> </w:t>
            </w:r>
            <w:r w:rsidRPr="006431E5">
              <w:t xml:space="preserve">The Core Strategy identifies Key District Centres (KDCs) and SDRAs as the top-tier of urban centres outside the City Centre. </w:t>
            </w:r>
            <w:proofErr w:type="spellStart"/>
            <w:r w:rsidRPr="006431E5">
              <w:t>Finglas</w:t>
            </w:r>
            <w:proofErr w:type="spellEnd"/>
            <w:r w:rsidRPr="006431E5">
              <w:t xml:space="preserve"> is designated a KDC in the Development Plan. </w:t>
            </w:r>
          </w:p>
          <w:p w14:paraId="74EBAC77" w14:textId="7BF8F47D" w:rsidR="000C5EB4" w:rsidRPr="005A61BD" w:rsidRDefault="000C5EB4" w:rsidP="000C5EB4">
            <w:r w:rsidRPr="005A61BD">
              <w:t xml:space="preserve">In preparing for the proposed change of zoning to allow for such a significant area of potential new residential units, the impact of this variation has been examined in relation to the Core Strategy.  Whilst the volume of land proposed provides for approximately 2,200 units, it is not expected that any significant portion of this will be delivered during the lifetime of the current City Development Plan; though it is possible that a number of permission applications will be made within this time.  </w:t>
            </w:r>
          </w:p>
          <w:p w14:paraId="104440BA" w14:textId="77777777" w:rsidR="000C5EB4" w:rsidRPr="005A61BD" w:rsidRDefault="000C5EB4" w:rsidP="000C5EB4">
            <w:r w:rsidRPr="005A61BD">
              <w:t>In analysing the delivery of the sub-areas for residential development (Table E), it is clear that a number of these have yet to reach their full capacity and some are not yet progressed nor likely to be by the end of the life of the current Development Plan.</w:t>
            </w:r>
            <w:r w:rsidRPr="005A61BD">
              <w:rPr>
                <w:rFonts w:cstheme="minorHAnsi"/>
                <w:vertAlign w:val="superscript"/>
              </w:rPr>
              <w:footnoteReference w:id="2"/>
            </w:r>
            <w:r w:rsidRPr="005A61BD">
              <w:t xml:space="preserve">  It is therefore considered that the additional zoning provided will remain consistent with the Core Strategy and it’s defining principle of achieving a compact sustainable mixed use growth with the existing envelope of the city, supported by high quality public transport and connectivity.  </w:t>
            </w:r>
          </w:p>
          <w:p w14:paraId="2573DDD6" w14:textId="77777777" w:rsidR="000C5EB4" w:rsidRPr="005A61BD" w:rsidRDefault="000C5EB4" w:rsidP="000C5EB4">
            <w:r w:rsidRPr="005A61BD">
              <w:t xml:space="preserve">Delivery of SDRA housing within a brownfield, infill or regeneration context is complex due to its context, and delivery of housing often extends across a series of Development Plans.  This variation and other </w:t>
            </w:r>
            <w:r w:rsidRPr="005A61BD">
              <w:lastRenderedPageBreak/>
              <w:t xml:space="preserve">SDRAs are designated within that long term horizon.  The capacity provided by these lands will aid the Council in meeting </w:t>
            </w:r>
            <w:proofErr w:type="spellStart"/>
            <w:r w:rsidRPr="005A61BD">
              <w:t>it’s</w:t>
            </w:r>
            <w:proofErr w:type="spellEnd"/>
            <w:r w:rsidRPr="005A61BD">
              <w:t xml:space="preserve"> future housing targets in tandem with the other SDRA lands and it will be particularly relevant to the brownfield targets of the NPF. </w:t>
            </w:r>
          </w:p>
          <w:p w14:paraId="1EE619B3" w14:textId="48C21349" w:rsidR="6508F772" w:rsidRPr="006431E5" w:rsidRDefault="632F0D16" w:rsidP="000C5EB4">
            <w:r w:rsidRPr="006431E5">
              <w:t>It is not considered that t</w:t>
            </w:r>
            <w:r w:rsidR="03D94B68" w:rsidRPr="006431E5">
              <w:t>he effects of the proposed Variation will be over and above the effects from the strategy, policies and objectives of the current Development Plan</w:t>
            </w:r>
            <w:r w:rsidR="5ACDF8FE" w:rsidRPr="006431E5">
              <w:t>.</w:t>
            </w:r>
          </w:p>
        </w:tc>
      </w:tr>
      <w:tr w:rsidR="6508F772" w:rsidRPr="006431E5" w14:paraId="2AB23636" w14:textId="77777777" w:rsidTr="1B348B48">
        <w:tc>
          <w:tcPr>
            <w:tcW w:w="9030" w:type="dxa"/>
            <w:tcBorders>
              <w:left w:val="single" w:sz="6" w:space="0" w:color="auto"/>
              <w:bottom w:val="single" w:sz="6" w:space="0" w:color="auto"/>
              <w:right w:val="single" w:sz="6" w:space="0" w:color="auto"/>
            </w:tcBorders>
            <w:vAlign w:val="center"/>
          </w:tcPr>
          <w:p w14:paraId="70AABB40" w14:textId="6DF6EA75" w:rsidR="6508F772" w:rsidRPr="006431E5" w:rsidRDefault="03D94B68" w:rsidP="001E3652">
            <w:pPr>
              <w:rPr>
                <w:rFonts w:cstheme="minorHAnsi"/>
                <w:b/>
                <w:sz w:val="22"/>
                <w:szCs w:val="22"/>
              </w:rPr>
            </w:pPr>
            <w:r w:rsidRPr="006431E5">
              <w:rPr>
                <w:rFonts w:cstheme="minorHAnsi"/>
                <w:b/>
                <w:sz w:val="22"/>
                <w:szCs w:val="22"/>
              </w:rPr>
              <w:lastRenderedPageBreak/>
              <w:t>The effects on areas or landscapes which have a recognised national, European Union or international protection status.</w:t>
            </w:r>
          </w:p>
          <w:p w14:paraId="1222D6FA" w14:textId="6443327A" w:rsidR="6508F772" w:rsidRPr="006431E5" w:rsidRDefault="03D94B68" w:rsidP="001E3652">
            <w:pPr>
              <w:rPr>
                <w:rFonts w:cstheme="minorHAnsi"/>
                <w:sz w:val="22"/>
                <w:szCs w:val="22"/>
              </w:rPr>
            </w:pPr>
            <w:r w:rsidRPr="006431E5">
              <w:rPr>
                <w:rFonts w:cstheme="minorHAnsi"/>
                <w:sz w:val="22"/>
                <w:szCs w:val="22"/>
              </w:rPr>
              <w:t xml:space="preserve">There will be no effects on areas or landscapes which have a recognised national, European Union or international protection status.  </w:t>
            </w:r>
          </w:p>
        </w:tc>
      </w:tr>
    </w:tbl>
    <w:p w14:paraId="3D2BD3B6" w14:textId="17506B43" w:rsidR="00775FE0" w:rsidRPr="006431E5" w:rsidRDefault="00775FE0" w:rsidP="00775FE0">
      <w:pPr>
        <w:pStyle w:val="Heading1"/>
        <w:rPr>
          <w:rFonts w:asciiTheme="minorHAnsi" w:eastAsiaTheme="minorEastAsia" w:hAnsiTheme="minorHAnsi" w:cstheme="minorHAnsi"/>
          <w:sz w:val="22"/>
          <w:szCs w:val="22"/>
        </w:rPr>
      </w:pPr>
      <w:bookmarkStart w:id="19" w:name="_Toc66806900"/>
      <w:r>
        <w:rPr>
          <w:rFonts w:asciiTheme="minorHAnsi" w:eastAsiaTheme="minorEastAsia" w:hAnsiTheme="minorHAnsi" w:cstheme="minorHAnsi"/>
          <w:sz w:val="22"/>
          <w:szCs w:val="22"/>
        </w:rPr>
        <w:t>6.</w:t>
      </w:r>
      <w:r w:rsidRPr="006431E5">
        <w:rPr>
          <w:rFonts w:asciiTheme="minorHAnsi" w:eastAsiaTheme="minorEastAsia" w:hAnsiTheme="minorHAnsi" w:cstheme="minorHAnsi"/>
          <w:sz w:val="22"/>
          <w:szCs w:val="22"/>
        </w:rPr>
        <w:t>0 Consultation</w:t>
      </w:r>
      <w:bookmarkEnd w:id="19"/>
    </w:p>
    <w:p w14:paraId="39FC344B" w14:textId="5215160A" w:rsidR="00775FE0" w:rsidRDefault="004645F4" w:rsidP="00775FE0">
      <w:pPr>
        <w:rPr>
          <w:rFonts w:cstheme="minorHAnsi"/>
          <w:sz w:val="22"/>
          <w:szCs w:val="22"/>
        </w:rPr>
      </w:pPr>
      <w:r>
        <w:rPr>
          <w:rFonts w:cstheme="minorHAnsi"/>
          <w:sz w:val="22"/>
          <w:szCs w:val="22"/>
        </w:rPr>
        <w:t>The following observations were received in response to</w:t>
      </w:r>
      <w:r w:rsidR="00775FE0">
        <w:rPr>
          <w:rFonts w:cstheme="minorHAnsi"/>
          <w:sz w:val="22"/>
          <w:szCs w:val="22"/>
        </w:rPr>
        <w:t xml:space="preserve"> the SEA Screening Notice. </w:t>
      </w:r>
    </w:p>
    <w:p w14:paraId="21922E18" w14:textId="2646A22F" w:rsidR="00775FE0" w:rsidRPr="004645F4" w:rsidRDefault="004645F4" w:rsidP="004645F4">
      <w:pPr>
        <w:pStyle w:val="ListParagraph"/>
        <w:numPr>
          <w:ilvl w:val="0"/>
          <w:numId w:val="20"/>
        </w:numPr>
        <w:rPr>
          <w:rFonts w:cstheme="minorHAnsi"/>
          <w:sz w:val="22"/>
          <w:szCs w:val="22"/>
        </w:rPr>
      </w:pPr>
      <w:r>
        <w:rPr>
          <w:rFonts w:cstheme="minorHAnsi"/>
          <w:sz w:val="22"/>
          <w:szCs w:val="22"/>
        </w:rPr>
        <w:t>Environmental Protection Agency</w:t>
      </w:r>
      <w:r w:rsidR="001D269F">
        <w:rPr>
          <w:rFonts w:cstheme="minorHAnsi"/>
          <w:sz w:val="22"/>
          <w:szCs w:val="22"/>
        </w:rPr>
        <w:t xml:space="preserve"> (EPA)</w:t>
      </w:r>
    </w:p>
    <w:p w14:paraId="33AF9109" w14:textId="4BC8C841" w:rsidR="004645F4" w:rsidRDefault="004645F4" w:rsidP="004645F4">
      <w:pPr>
        <w:pStyle w:val="ListParagraph"/>
        <w:numPr>
          <w:ilvl w:val="0"/>
          <w:numId w:val="20"/>
        </w:numPr>
        <w:rPr>
          <w:rFonts w:cstheme="minorHAnsi"/>
          <w:sz w:val="22"/>
          <w:szCs w:val="22"/>
        </w:rPr>
      </w:pPr>
      <w:r>
        <w:rPr>
          <w:rFonts w:cstheme="minorHAnsi"/>
          <w:sz w:val="22"/>
          <w:szCs w:val="22"/>
        </w:rPr>
        <w:t xml:space="preserve">Department </w:t>
      </w:r>
      <w:r w:rsidR="005E3CEE">
        <w:rPr>
          <w:rFonts w:cstheme="minorHAnsi"/>
          <w:sz w:val="22"/>
          <w:szCs w:val="22"/>
        </w:rPr>
        <w:t>of Environment, Climate and Communications (</w:t>
      </w:r>
      <w:r w:rsidR="005E3CEE" w:rsidRPr="005E3CEE">
        <w:rPr>
          <w:rFonts w:cstheme="minorHAnsi"/>
          <w:sz w:val="22"/>
          <w:szCs w:val="22"/>
        </w:rPr>
        <w:t>Waste Policy and Resource Efficiency Division</w:t>
      </w:r>
      <w:r w:rsidR="005E3CEE">
        <w:rPr>
          <w:rFonts w:cstheme="minorHAnsi"/>
          <w:sz w:val="22"/>
          <w:szCs w:val="22"/>
        </w:rPr>
        <w:t>)</w:t>
      </w:r>
    </w:p>
    <w:p w14:paraId="70B74AC4" w14:textId="08A5198B" w:rsidR="001836DF" w:rsidRPr="004645F4" w:rsidRDefault="001836DF" w:rsidP="004645F4">
      <w:pPr>
        <w:pStyle w:val="ListParagraph"/>
        <w:numPr>
          <w:ilvl w:val="0"/>
          <w:numId w:val="20"/>
        </w:numPr>
        <w:rPr>
          <w:rFonts w:cstheme="minorHAnsi"/>
          <w:sz w:val="22"/>
          <w:szCs w:val="22"/>
        </w:rPr>
      </w:pPr>
      <w:r>
        <w:rPr>
          <w:rFonts w:cstheme="minorHAnsi"/>
          <w:sz w:val="22"/>
          <w:szCs w:val="22"/>
        </w:rPr>
        <w:t xml:space="preserve">Department of Tourism, Culture, Arts, Gaeltacht, Sport and Media (Development Applications Unit) </w:t>
      </w:r>
    </w:p>
    <w:p w14:paraId="001C700D" w14:textId="77777777" w:rsidR="004645F4" w:rsidRDefault="004645F4" w:rsidP="00775FE0">
      <w:pPr>
        <w:rPr>
          <w:rFonts w:cstheme="minorHAnsi"/>
          <w:sz w:val="22"/>
          <w:szCs w:val="22"/>
        </w:rPr>
      </w:pPr>
    </w:p>
    <w:p w14:paraId="13676C1C" w14:textId="2EE9C73F" w:rsidR="00775FE0" w:rsidRDefault="00775FE0" w:rsidP="00775FE0">
      <w:pPr>
        <w:rPr>
          <w:rFonts w:cstheme="minorHAnsi"/>
          <w:sz w:val="22"/>
          <w:szCs w:val="22"/>
        </w:rPr>
      </w:pPr>
      <w:r>
        <w:rPr>
          <w:rFonts w:cstheme="minorHAnsi"/>
          <w:sz w:val="22"/>
          <w:szCs w:val="22"/>
        </w:rPr>
        <w:t>T</w:t>
      </w:r>
      <w:r w:rsidR="001D269F">
        <w:rPr>
          <w:rFonts w:cstheme="minorHAnsi"/>
          <w:sz w:val="22"/>
          <w:szCs w:val="22"/>
        </w:rPr>
        <w:t xml:space="preserve">he </w:t>
      </w:r>
      <w:r w:rsidR="001D269F" w:rsidRPr="005E3CEE">
        <w:rPr>
          <w:rFonts w:cstheme="minorHAnsi"/>
          <w:b/>
          <w:sz w:val="22"/>
          <w:szCs w:val="22"/>
        </w:rPr>
        <w:t>EPA</w:t>
      </w:r>
      <w:r>
        <w:rPr>
          <w:rFonts w:cstheme="minorHAnsi"/>
          <w:sz w:val="22"/>
          <w:szCs w:val="22"/>
        </w:rPr>
        <w:t xml:space="preserve"> made the following comments:</w:t>
      </w:r>
    </w:p>
    <w:p w14:paraId="4FA05E4E" w14:textId="77777777" w:rsidR="00F3778C" w:rsidRDefault="00F3778C" w:rsidP="00F3778C">
      <w:pPr>
        <w:pStyle w:val="ListParagraph"/>
        <w:numPr>
          <w:ilvl w:val="0"/>
          <w:numId w:val="24"/>
        </w:numPr>
        <w:rPr>
          <w:rFonts w:cstheme="minorHAnsi"/>
          <w:sz w:val="22"/>
          <w:szCs w:val="22"/>
          <w:lang w:val="en-IE"/>
        </w:rPr>
      </w:pPr>
      <w:r>
        <w:rPr>
          <w:rFonts w:cstheme="minorHAnsi"/>
          <w:bCs/>
          <w:sz w:val="22"/>
          <w:szCs w:val="22"/>
        </w:rPr>
        <w:t>The</w:t>
      </w:r>
      <w:r w:rsidRPr="00F3778C">
        <w:rPr>
          <w:rFonts w:cstheme="minorHAnsi"/>
          <w:sz w:val="22"/>
          <w:szCs w:val="22"/>
          <w:lang w:val="en-IE"/>
        </w:rPr>
        <w:t xml:space="preserve"> Planning Authority’s</w:t>
      </w:r>
      <w:r w:rsidR="00F33755" w:rsidRPr="00F3778C">
        <w:rPr>
          <w:rFonts w:cstheme="minorHAnsi"/>
          <w:sz w:val="22"/>
          <w:szCs w:val="22"/>
          <w:lang w:val="en-IE"/>
        </w:rPr>
        <w:t xml:space="preserve"> determination that SEA is not required for the Variation</w:t>
      </w:r>
      <w:r>
        <w:rPr>
          <w:rFonts w:cstheme="minorHAnsi"/>
          <w:sz w:val="22"/>
          <w:szCs w:val="22"/>
          <w:lang w:val="en-IE"/>
        </w:rPr>
        <w:t xml:space="preserve"> is noted</w:t>
      </w:r>
      <w:r w:rsidR="00F33755" w:rsidRPr="00F3778C">
        <w:rPr>
          <w:rFonts w:cstheme="minorHAnsi"/>
          <w:sz w:val="22"/>
          <w:szCs w:val="22"/>
          <w:lang w:val="en-IE"/>
        </w:rPr>
        <w:t>.</w:t>
      </w:r>
    </w:p>
    <w:p w14:paraId="35391A4C" w14:textId="5A249624" w:rsidR="00F33755" w:rsidRPr="00F3778C" w:rsidRDefault="00F3778C" w:rsidP="00F3778C">
      <w:pPr>
        <w:pStyle w:val="ListParagraph"/>
        <w:numPr>
          <w:ilvl w:val="0"/>
          <w:numId w:val="24"/>
        </w:numPr>
        <w:rPr>
          <w:rFonts w:cstheme="minorHAnsi"/>
          <w:sz w:val="22"/>
          <w:szCs w:val="22"/>
          <w:lang w:val="en-IE"/>
        </w:rPr>
      </w:pPr>
      <w:r>
        <w:rPr>
          <w:rFonts w:cstheme="minorHAnsi"/>
          <w:sz w:val="22"/>
          <w:szCs w:val="22"/>
        </w:rPr>
        <w:t>Recommended to take the</w:t>
      </w:r>
      <w:r w:rsidR="00F33755" w:rsidRPr="00F3778C">
        <w:rPr>
          <w:rFonts w:cstheme="minorHAnsi"/>
          <w:sz w:val="22"/>
          <w:szCs w:val="22"/>
        </w:rPr>
        <w:t xml:space="preserve"> guidance document ‘</w:t>
      </w:r>
      <w:hyperlink r:id="rId9" w:history="1">
        <w:r w:rsidR="00F33755" w:rsidRPr="00F3778C">
          <w:rPr>
            <w:rStyle w:val="Hyperlink"/>
            <w:rFonts w:cstheme="minorHAnsi"/>
            <w:i/>
            <w:iCs/>
            <w:sz w:val="22"/>
            <w:szCs w:val="22"/>
          </w:rPr>
          <w:t>SEA of Local Authority Land Use Plans – EPA Recommendations and Resources</w:t>
        </w:r>
      </w:hyperlink>
      <w:r>
        <w:rPr>
          <w:rFonts w:cstheme="minorHAnsi"/>
          <w:sz w:val="22"/>
          <w:szCs w:val="22"/>
        </w:rPr>
        <w:t xml:space="preserve">’ into account </w:t>
      </w:r>
      <w:r w:rsidR="00F33755" w:rsidRPr="00F3778C">
        <w:rPr>
          <w:rFonts w:cstheme="minorHAnsi"/>
          <w:sz w:val="22"/>
          <w:szCs w:val="22"/>
        </w:rPr>
        <w:t>and incorporating any recommendations as relevant and appropriate to the Variation.</w:t>
      </w:r>
    </w:p>
    <w:p w14:paraId="0E97BA2B" w14:textId="77777777" w:rsidR="00F3778C" w:rsidRDefault="00F33755" w:rsidP="00F33755">
      <w:pPr>
        <w:pStyle w:val="ListParagraph"/>
        <w:numPr>
          <w:ilvl w:val="0"/>
          <w:numId w:val="24"/>
        </w:numPr>
        <w:rPr>
          <w:rFonts w:cstheme="minorHAnsi"/>
          <w:sz w:val="22"/>
          <w:szCs w:val="22"/>
          <w:lang w:val="en-IE"/>
        </w:rPr>
      </w:pPr>
      <w:r w:rsidRPr="00F3778C">
        <w:rPr>
          <w:rFonts w:cstheme="minorHAnsi"/>
          <w:sz w:val="22"/>
          <w:szCs w:val="22"/>
        </w:rPr>
        <w:t xml:space="preserve">Dublin City Council should ensure that the </w:t>
      </w:r>
      <w:r w:rsidRPr="00F3778C">
        <w:rPr>
          <w:rFonts w:cstheme="minorHAnsi"/>
          <w:sz w:val="22"/>
          <w:szCs w:val="22"/>
          <w:lang w:val="en-IE"/>
        </w:rPr>
        <w:t xml:space="preserve">Variation </w:t>
      </w:r>
      <w:r w:rsidRPr="00F3778C">
        <w:rPr>
          <w:rFonts w:cstheme="minorHAnsi"/>
          <w:sz w:val="22"/>
          <w:szCs w:val="22"/>
        </w:rPr>
        <w:t xml:space="preserve">is consistent with the need for proper planning and sustainable development. </w:t>
      </w:r>
      <w:r w:rsidRPr="00F3778C">
        <w:rPr>
          <w:rFonts w:cstheme="minorHAnsi"/>
          <w:sz w:val="22"/>
          <w:szCs w:val="22"/>
          <w:lang w:val="en-IE"/>
        </w:rPr>
        <w:t xml:space="preserve">Adequate and appropriate critical service infrastructure should be in place, or required to be put in place, to service any development proposed and authorised during the lifetime of the Variation.  </w:t>
      </w:r>
    </w:p>
    <w:p w14:paraId="498BBB93" w14:textId="77777777" w:rsidR="00F3778C" w:rsidRPr="00F3778C" w:rsidRDefault="00F33755" w:rsidP="00F33755">
      <w:pPr>
        <w:pStyle w:val="ListParagraph"/>
        <w:numPr>
          <w:ilvl w:val="0"/>
          <w:numId w:val="24"/>
        </w:numPr>
        <w:rPr>
          <w:rFonts w:cstheme="minorHAnsi"/>
          <w:sz w:val="22"/>
          <w:szCs w:val="22"/>
          <w:lang w:val="en-IE"/>
        </w:rPr>
      </w:pPr>
      <w:r w:rsidRPr="00F3778C">
        <w:rPr>
          <w:rFonts w:cstheme="minorHAnsi"/>
          <w:sz w:val="22"/>
          <w:szCs w:val="22"/>
        </w:rPr>
        <w:t xml:space="preserve">In considering the </w:t>
      </w:r>
      <w:r w:rsidRPr="00F3778C">
        <w:rPr>
          <w:rFonts w:cstheme="minorHAnsi"/>
          <w:sz w:val="22"/>
          <w:szCs w:val="22"/>
          <w:lang w:val="en-IE"/>
        </w:rPr>
        <w:t>Variation</w:t>
      </w:r>
      <w:r w:rsidRPr="00F3778C">
        <w:rPr>
          <w:rFonts w:cstheme="minorHAnsi"/>
          <w:sz w:val="22"/>
          <w:szCs w:val="22"/>
        </w:rPr>
        <w:t>, Dublin City Council should take into account the need to align with national commitments on climate change mitigation and adaptation, as well as incorporating any relevant recommendations in sectoral, regional and local climate adaptation plans.</w:t>
      </w:r>
    </w:p>
    <w:p w14:paraId="4F95A8BA" w14:textId="77777777" w:rsidR="00F3778C" w:rsidRPr="00F3778C" w:rsidRDefault="00F33755" w:rsidP="00F33755">
      <w:pPr>
        <w:pStyle w:val="ListParagraph"/>
        <w:numPr>
          <w:ilvl w:val="0"/>
          <w:numId w:val="24"/>
        </w:numPr>
        <w:rPr>
          <w:rFonts w:cstheme="minorHAnsi"/>
          <w:sz w:val="22"/>
          <w:szCs w:val="22"/>
          <w:lang w:val="en-IE"/>
        </w:rPr>
      </w:pPr>
      <w:r w:rsidRPr="00F3778C">
        <w:rPr>
          <w:rFonts w:cstheme="minorHAnsi"/>
          <w:sz w:val="22"/>
          <w:szCs w:val="22"/>
        </w:rPr>
        <w:t xml:space="preserve">Dublin City Council should also ensure that the </w:t>
      </w:r>
      <w:r w:rsidRPr="00F3778C">
        <w:rPr>
          <w:rFonts w:cstheme="minorHAnsi"/>
          <w:sz w:val="22"/>
          <w:szCs w:val="22"/>
          <w:lang w:val="en-IE"/>
        </w:rPr>
        <w:t xml:space="preserve">Variation </w:t>
      </w:r>
      <w:r w:rsidRPr="00F3778C">
        <w:rPr>
          <w:rFonts w:cstheme="minorHAnsi"/>
          <w:sz w:val="22"/>
          <w:szCs w:val="22"/>
        </w:rPr>
        <w:t>aligns with key relevant higher-level plans and programmes and is consistent with the relevant objectives and policy commitments of the National Planning Framework and the Eastern and Midlands Regional Spatial and Economic Strategy.</w:t>
      </w:r>
    </w:p>
    <w:p w14:paraId="042653C7" w14:textId="2A987EE6" w:rsidR="00F3778C" w:rsidRPr="00F3778C" w:rsidRDefault="00F3778C" w:rsidP="00F3778C">
      <w:pPr>
        <w:pStyle w:val="ListParagraph"/>
        <w:numPr>
          <w:ilvl w:val="0"/>
          <w:numId w:val="24"/>
        </w:numPr>
        <w:rPr>
          <w:rFonts w:cstheme="minorHAnsi"/>
          <w:sz w:val="22"/>
          <w:szCs w:val="22"/>
          <w:lang w:val="en-IE"/>
        </w:rPr>
      </w:pPr>
      <w:r w:rsidRPr="00F3778C">
        <w:rPr>
          <w:rFonts w:cstheme="minorHAnsi"/>
          <w:sz w:val="22"/>
          <w:szCs w:val="22"/>
          <w:lang w:val="en-IE"/>
        </w:rPr>
        <w:t>The relevant aspects of the Key Actions</w:t>
      </w:r>
      <w:r>
        <w:rPr>
          <w:rFonts w:cstheme="minorHAnsi"/>
          <w:sz w:val="22"/>
          <w:szCs w:val="22"/>
          <w:lang w:val="en-IE"/>
        </w:rPr>
        <w:t xml:space="preserve"> identified in the EPA’s</w:t>
      </w:r>
      <w:r w:rsidRPr="00F3778C">
        <w:rPr>
          <w:rFonts w:cstheme="minorHAnsi"/>
          <w:sz w:val="22"/>
          <w:szCs w:val="22"/>
          <w:lang w:val="en-IE"/>
        </w:rPr>
        <w:t xml:space="preserve"> </w:t>
      </w:r>
      <w:r w:rsidR="00F33755" w:rsidRPr="00F3778C">
        <w:rPr>
          <w:rFonts w:cstheme="minorHAnsi"/>
          <w:sz w:val="22"/>
          <w:szCs w:val="22"/>
          <w:lang w:val="en-IE"/>
        </w:rPr>
        <w:t xml:space="preserve">State of Environment Report </w:t>
      </w:r>
      <w:r w:rsidR="00F33755" w:rsidRPr="00F3778C">
        <w:rPr>
          <w:rFonts w:cstheme="minorHAnsi"/>
          <w:i/>
          <w:iCs/>
          <w:sz w:val="22"/>
          <w:szCs w:val="22"/>
          <w:lang w:val="en-IE"/>
        </w:rPr>
        <w:t>Ireland’s Environment - An Assessment 2020</w:t>
      </w:r>
      <w:r w:rsidR="00F33755" w:rsidRPr="00F3778C">
        <w:rPr>
          <w:rFonts w:cstheme="minorHAnsi"/>
          <w:sz w:val="22"/>
          <w:szCs w:val="22"/>
          <w:lang w:val="en-IE"/>
        </w:rPr>
        <w:t xml:space="preserve"> (EPA, 2020) </w:t>
      </w:r>
      <w:r w:rsidRPr="00F3778C">
        <w:rPr>
          <w:rFonts w:cstheme="minorHAnsi"/>
          <w:sz w:val="22"/>
          <w:szCs w:val="22"/>
          <w:lang w:val="en-IE"/>
        </w:rPr>
        <w:t>and the</w:t>
      </w:r>
      <w:r>
        <w:rPr>
          <w:rFonts w:cstheme="minorHAnsi"/>
          <w:sz w:val="22"/>
          <w:szCs w:val="22"/>
          <w:lang w:val="en-IE"/>
        </w:rPr>
        <w:t xml:space="preserve"> UN Sustainable Development </w:t>
      </w:r>
      <w:r>
        <w:rPr>
          <w:rFonts w:cstheme="minorHAnsi"/>
          <w:sz w:val="22"/>
          <w:szCs w:val="22"/>
          <w:lang w:val="en-IE"/>
        </w:rPr>
        <w:lastRenderedPageBreak/>
        <w:t>Goals</w:t>
      </w:r>
      <w:r w:rsidRPr="00F3778C">
        <w:rPr>
          <w:rFonts w:cstheme="minorHAnsi"/>
          <w:sz w:val="22"/>
          <w:szCs w:val="22"/>
          <w:lang w:val="en-IE"/>
        </w:rPr>
        <w:t xml:space="preserve"> </w:t>
      </w:r>
      <w:r>
        <w:rPr>
          <w:rFonts w:cstheme="minorHAnsi"/>
          <w:sz w:val="22"/>
          <w:szCs w:val="22"/>
          <w:lang w:val="en-IE"/>
        </w:rPr>
        <w:t>(</w:t>
      </w:r>
      <w:r w:rsidRPr="00F3778C">
        <w:rPr>
          <w:rFonts w:cstheme="minorHAnsi"/>
          <w:sz w:val="22"/>
          <w:szCs w:val="22"/>
          <w:lang w:val="en-IE"/>
        </w:rPr>
        <w:t>SDGs</w:t>
      </w:r>
      <w:r>
        <w:rPr>
          <w:rFonts w:cstheme="minorHAnsi"/>
          <w:sz w:val="22"/>
          <w:szCs w:val="22"/>
          <w:lang w:val="en-IE"/>
        </w:rPr>
        <w:t>)</w:t>
      </w:r>
      <w:r w:rsidRPr="00F3778C">
        <w:rPr>
          <w:rFonts w:cstheme="minorHAnsi"/>
          <w:sz w:val="22"/>
          <w:szCs w:val="22"/>
          <w:lang w:val="en-IE"/>
        </w:rPr>
        <w:t xml:space="preserve"> should be taken into account in preparing the Variation to ensure that it aligns with and contributes to achieving Ireland’s sustainable development and environmental protection ambitions.</w:t>
      </w:r>
    </w:p>
    <w:p w14:paraId="22D2D856" w14:textId="77777777" w:rsidR="005142C4" w:rsidRPr="005142C4" w:rsidRDefault="00F3778C" w:rsidP="00F33755">
      <w:pPr>
        <w:pStyle w:val="ListParagraph"/>
        <w:numPr>
          <w:ilvl w:val="0"/>
          <w:numId w:val="24"/>
        </w:numPr>
        <w:rPr>
          <w:rFonts w:cstheme="minorHAnsi"/>
          <w:sz w:val="22"/>
          <w:szCs w:val="22"/>
          <w:lang w:val="en-IE"/>
        </w:rPr>
      </w:pPr>
      <w:r>
        <w:rPr>
          <w:rFonts w:cstheme="minorHAnsi"/>
          <w:sz w:val="22"/>
          <w:szCs w:val="22"/>
        </w:rPr>
        <w:t xml:space="preserve">The AA </w:t>
      </w:r>
      <w:proofErr w:type="spellStart"/>
      <w:r>
        <w:rPr>
          <w:rFonts w:cstheme="minorHAnsi"/>
          <w:sz w:val="22"/>
          <w:szCs w:val="22"/>
        </w:rPr>
        <w:t>GeoTool</w:t>
      </w:r>
      <w:proofErr w:type="spellEnd"/>
      <w:r>
        <w:rPr>
          <w:rFonts w:cstheme="minorHAnsi"/>
          <w:sz w:val="22"/>
          <w:szCs w:val="22"/>
        </w:rPr>
        <w:t xml:space="preserve"> application</w:t>
      </w:r>
      <w:r w:rsidR="00F33755" w:rsidRPr="00F3778C">
        <w:rPr>
          <w:rFonts w:cstheme="minorHAnsi"/>
          <w:sz w:val="22"/>
          <w:szCs w:val="22"/>
        </w:rPr>
        <w:t xml:space="preserve"> developed in partnership with the</w:t>
      </w:r>
      <w:r w:rsidR="005142C4">
        <w:rPr>
          <w:rFonts w:cstheme="minorHAnsi"/>
          <w:sz w:val="22"/>
          <w:szCs w:val="22"/>
        </w:rPr>
        <w:t xml:space="preserve"> NPWS available on the EPA website provides information relating to European Sites. </w:t>
      </w:r>
    </w:p>
    <w:p w14:paraId="6CA55277" w14:textId="77777777" w:rsidR="005142C4" w:rsidRDefault="00F33755" w:rsidP="00F33755">
      <w:pPr>
        <w:pStyle w:val="ListParagraph"/>
        <w:numPr>
          <w:ilvl w:val="0"/>
          <w:numId w:val="24"/>
        </w:numPr>
        <w:rPr>
          <w:rFonts w:cstheme="minorHAnsi"/>
          <w:sz w:val="22"/>
          <w:szCs w:val="22"/>
          <w:lang w:val="en-IE"/>
        </w:rPr>
      </w:pPr>
      <w:r w:rsidRPr="005142C4">
        <w:rPr>
          <w:rFonts w:cstheme="minorHAnsi"/>
          <w:sz w:val="22"/>
          <w:szCs w:val="22"/>
          <w:lang w:val="en-IE"/>
        </w:rPr>
        <w:t xml:space="preserve">Under the SEA Regulations, prior to making </w:t>
      </w:r>
      <w:r w:rsidR="005142C4">
        <w:rPr>
          <w:rFonts w:cstheme="minorHAnsi"/>
          <w:sz w:val="22"/>
          <w:szCs w:val="22"/>
          <w:lang w:val="en-IE"/>
        </w:rPr>
        <w:t xml:space="preserve">a </w:t>
      </w:r>
      <w:r w:rsidRPr="005142C4">
        <w:rPr>
          <w:rFonts w:cstheme="minorHAnsi"/>
          <w:sz w:val="22"/>
          <w:szCs w:val="22"/>
          <w:lang w:val="en-IE"/>
        </w:rPr>
        <w:t xml:space="preserve">SEA determination </w:t>
      </w:r>
      <w:r w:rsidR="005142C4">
        <w:rPr>
          <w:rFonts w:cstheme="minorHAnsi"/>
          <w:sz w:val="22"/>
          <w:szCs w:val="22"/>
          <w:lang w:val="en-IE"/>
        </w:rPr>
        <w:t>the following Environmental Authorities should be consulted with</w:t>
      </w:r>
      <w:r w:rsidRPr="005142C4">
        <w:rPr>
          <w:rFonts w:cstheme="minorHAnsi"/>
          <w:sz w:val="22"/>
          <w:szCs w:val="22"/>
          <w:lang w:val="en-IE"/>
        </w:rPr>
        <w:t>:</w:t>
      </w:r>
      <w:r w:rsidR="005142C4">
        <w:rPr>
          <w:rFonts w:cstheme="minorHAnsi"/>
          <w:sz w:val="22"/>
          <w:szCs w:val="22"/>
          <w:lang w:val="en-IE"/>
        </w:rPr>
        <w:t xml:space="preserve"> </w:t>
      </w:r>
      <w:r w:rsidRPr="005142C4">
        <w:rPr>
          <w:rFonts w:cstheme="minorHAnsi"/>
          <w:sz w:val="22"/>
          <w:szCs w:val="22"/>
          <w:lang w:val="en-IE"/>
        </w:rPr>
        <w:t>Environmental Protection Agency;</w:t>
      </w:r>
      <w:r w:rsidR="005142C4">
        <w:rPr>
          <w:rFonts w:cstheme="minorHAnsi"/>
          <w:sz w:val="22"/>
          <w:szCs w:val="22"/>
          <w:lang w:val="en-IE"/>
        </w:rPr>
        <w:t xml:space="preserve"> </w:t>
      </w:r>
      <w:r w:rsidRPr="005142C4">
        <w:rPr>
          <w:rFonts w:cstheme="minorHAnsi"/>
          <w:sz w:val="22"/>
          <w:szCs w:val="22"/>
          <w:lang w:val="en-IE"/>
        </w:rPr>
        <w:t>Minister for Tourism, Culture, Arts, Gaeltacht, Sport and Media (formerly Minister for Culture, Heritage and the Gaeltacht (functions transferred from Minister for Environment, Heritage and Local Government/ Minister for Housing, Planning and Local Government to Minister for Culture, Heritage and the Gaeltacht by S.I. 192 of 2011);</w:t>
      </w:r>
      <w:r w:rsidR="005142C4">
        <w:rPr>
          <w:rFonts w:cstheme="minorHAnsi"/>
          <w:sz w:val="22"/>
          <w:szCs w:val="22"/>
          <w:lang w:val="en-IE"/>
        </w:rPr>
        <w:t xml:space="preserve"> </w:t>
      </w:r>
      <w:r w:rsidRPr="005142C4">
        <w:rPr>
          <w:rFonts w:cstheme="minorHAnsi"/>
          <w:sz w:val="22"/>
          <w:szCs w:val="22"/>
          <w:lang w:val="en-IE"/>
        </w:rPr>
        <w:t>Minister for Environment, Climate and Communications (formerly Minister of Communications, Climate Change and the Environment); Minister for Agriculture, Food and the Marine; and</w:t>
      </w:r>
      <w:r w:rsidR="005142C4">
        <w:rPr>
          <w:rFonts w:cstheme="minorHAnsi"/>
          <w:sz w:val="22"/>
          <w:szCs w:val="22"/>
          <w:lang w:val="en-IE"/>
        </w:rPr>
        <w:t xml:space="preserve"> </w:t>
      </w:r>
      <w:r w:rsidRPr="005142C4">
        <w:rPr>
          <w:rFonts w:cstheme="minorHAnsi"/>
          <w:sz w:val="22"/>
          <w:szCs w:val="22"/>
          <w:lang w:val="en-IE"/>
        </w:rPr>
        <w:t>any adjoining planning authority whose area is contiguous to the area of a planning authority which prepared a draft plan, proposed variation or local area plan</w:t>
      </w:r>
      <w:r w:rsidR="005142C4">
        <w:rPr>
          <w:rFonts w:cstheme="minorHAnsi"/>
          <w:sz w:val="22"/>
          <w:szCs w:val="22"/>
          <w:lang w:val="en-IE"/>
        </w:rPr>
        <w:t xml:space="preserve">. </w:t>
      </w:r>
    </w:p>
    <w:p w14:paraId="77E6ED20" w14:textId="53A8899B" w:rsidR="00775FE0" w:rsidRPr="00F06CA8" w:rsidRDefault="00F33755" w:rsidP="00775FE0">
      <w:pPr>
        <w:pStyle w:val="ListParagraph"/>
        <w:numPr>
          <w:ilvl w:val="0"/>
          <w:numId w:val="24"/>
        </w:numPr>
        <w:rPr>
          <w:rFonts w:cstheme="minorHAnsi"/>
          <w:sz w:val="22"/>
          <w:szCs w:val="22"/>
          <w:lang w:val="en-IE"/>
        </w:rPr>
      </w:pPr>
      <w:r w:rsidRPr="005142C4">
        <w:rPr>
          <w:rFonts w:cstheme="minorHAnsi"/>
          <w:sz w:val="22"/>
          <w:szCs w:val="22"/>
          <w:lang w:val="en-IE"/>
        </w:rPr>
        <w:t>As soon as practicable aft</w:t>
      </w:r>
      <w:r w:rsidR="005142C4">
        <w:rPr>
          <w:rFonts w:cstheme="minorHAnsi"/>
          <w:sz w:val="22"/>
          <w:szCs w:val="22"/>
          <w:lang w:val="en-IE"/>
        </w:rPr>
        <w:t>er making a</w:t>
      </w:r>
      <w:r w:rsidRPr="005142C4">
        <w:rPr>
          <w:rFonts w:cstheme="minorHAnsi"/>
          <w:sz w:val="22"/>
          <w:szCs w:val="22"/>
          <w:lang w:val="en-IE"/>
        </w:rPr>
        <w:t xml:space="preserve"> determination as to whether SEA is required or not, </w:t>
      </w:r>
      <w:r w:rsidR="005142C4">
        <w:rPr>
          <w:rFonts w:cstheme="minorHAnsi"/>
          <w:sz w:val="22"/>
          <w:szCs w:val="22"/>
          <w:lang w:val="en-IE"/>
        </w:rPr>
        <w:t>a copy of the</w:t>
      </w:r>
      <w:r w:rsidRPr="005142C4">
        <w:rPr>
          <w:rFonts w:cstheme="minorHAnsi"/>
          <w:sz w:val="22"/>
          <w:szCs w:val="22"/>
          <w:lang w:val="en-IE"/>
        </w:rPr>
        <w:t xml:space="preserve"> decision, including, as appropriate, the reasons for not requiring an environmental assessment, </w:t>
      </w:r>
      <w:r w:rsidR="005142C4">
        <w:rPr>
          <w:rFonts w:cstheme="minorHAnsi"/>
          <w:sz w:val="22"/>
          <w:szCs w:val="22"/>
          <w:lang w:val="en-IE"/>
        </w:rPr>
        <w:t xml:space="preserve">should be made </w:t>
      </w:r>
      <w:r w:rsidRPr="005142C4">
        <w:rPr>
          <w:rFonts w:cstheme="minorHAnsi"/>
          <w:sz w:val="22"/>
          <w:szCs w:val="22"/>
          <w:lang w:val="en-IE"/>
        </w:rPr>
        <w:t>avai</w:t>
      </w:r>
      <w:r w:rsidR="005142C4">
        <w:rPr>
          <w:rFonts w:cstheme="minorHAnsi"/>
          <w:sz w:val="22"/>
          <w:szCs w:val="22"/>
          <w:lang w:val="en-IE"/>
        </w:rPr>
        <w:t>lable for public inspection in the Council’s</w:t>
      </w:r>
      <w:r w:rsidRPr="005142C4">
        <w:rPr>
          <w:rFonts w:cstheme="minorHAnsi"/>
          <w:sz w:val="22"/>
          <w:szCs w:val="22"/>
          <w:lang w:val="en-IE"/>
        </w:rPr>
        <w:t xml:space="preserve"> offices and we</w:t>
      </w:r>
      <w:r w:rsidR="005142C4">
        <w:rPr>
          <w:rFonts w:cstheme="minorHAnsi"/>
          <w:sz w:val="22"/>
          <w:szCs w:val="22"/>
          <w:lang w:val="en-IE"/>
        </w:rPr>
        <w:t xml:space="preserve">bsite and a copy of this </w:t>
      </w:r>
      <w:r w:rsidRPr="005142C4">
        <w:rPr>
          <w:rFonts w:cstheme="minorHAnsi"/>
          <w:sz w:val="22"/>
          <w:szCs w:val="22"/>
          <w:lang w:val="en-IE"/>
        </w:rPr>
        <w:t xml:space="preserve">determination </w:t>
      </w:r>
      <w:r w:rsidR="005142C4">
        <w:rPr>
          <w:rFonts w:cstheme="minorHAnsi"/>
          <w:sz w:val="22"/>
          <w:szCs w:val="22"/>
          <w:lang w:val="en-IE"/>
        </w:rPr>
        <w:t xml:space="preserve">sent </w:t>
      </w:r>
      <w:r w:rsidRPr="005142C4">
        <w:rPr>
          <w:rFonts w:cstheme="minorHAnsi"/>
          <w:sz w:val="22"/>
          <w:szCs w:val="22"/>
          <w:lang w:val="en-IE"/>
        </w:rPr>
        <w:t>to the relevant environmental authorities</w:t>
      </w:r>
      <w:r w:rsidRPr="005142C4">
        <w:rPr>
          <w:rFonts w:cstheme="minorHAnsi"/>
          <w:b/>
          <w:bCs/>
          <w:sz w:val="22"/>
          <w:szCs w:val="22"/>
          <w:lang w:val="en-IE"/>
        </w:rPr>
        <w:t xml:space="preserve"> </w:t>
      </w:r>
      <w:r w:rsidRPr="005142C4">
        <w:rPr>
          <w:rFonts w:cstheme="minorHAnsi"/>
          <w:sz w:val="22"/>
          <w:szCs w:val="22"/>
          <w:lang w:val="en-IE"/>
        </w:rPr>
        <w:t xml:space="preserve">consulted. </w:t>
      </w:r>
    </w:p>
    <w:p w14:paraId="7E8FAF08" w14:textId="77777777" w:rsidR="004E65A4" w:rsidRDefault="004E65A4" w:rsidP="00775FE0">
      <w:pPr>
        <w:rPr>
          <w:rFonts w:cstheme="minorHAnsi"/>
          <w:sz w:val="22"/>
          <w:szCs w:val="22"/>
        </w:rPr>
      </w:pPr>
    </w:p>
    <w:p w14:paraId="7B7731EC" w14:textId="2A7250BA" w:rsidR="00775FE0" w:rsidRDefault="005E3CEE" w:rsidP="00775FE0">
      <w:pPr>
        <w:rPr>
          <w:rFonts w:cstheme="minorHAnsi"/>
          <w:sz w:val="22"/>
          <w:szCs w:val="22"/>
        </w:rPr>
      </w:pPr>
      <w:r>
        <w:rPr>
          <w:rFonts w:cstheme="minorHAnsi"/>
          <w:sz w:val="22"/>
          <w:szCs w:val="22"/>
        </w:rPr>
        <w:t xml:space="preserve">The </w:t>
      </w:r>
      <w:r w:rsidRPr="005E3CEE">
        <w:rPr>
          <w:rFonts w:cstheme="minorHAnsi"/>
          <w:b/>
          <w:sz w:val="22"/>
          <w:szCs w:val="22"/>
        </w:rPr>
        <w:t>Department of Environment, Climate and Communications</w:t>
      </w:r>
      <w:r>
        <w:rPr>
          <w:rFonts w:cstheme="minorHAnsi"/>
          <w:b/>
          <w:sz w:val="22"/>
          <w:szCs w:val="22"/>
        </w:rPr>
        <w:t xml:space="preserve"> (Waste Policy and Resource Efficiency Division) </w:t>
      </w:r>
      <w:r w:rsidR="00775FE0">
        <w:rPr>
          <w:rFonts w:cstheme="minorHAnsi"/>
          <w:sz w:val="22"/>
          <w:szCs w:val="22"/>
        </w:rPr>
        <w:t xml:space="preserve">made the following comments: </w:t>
      </w:r>
    </w:p>
    <w:p w14:paraId="00EA9DFB" w14:textId="49A760C8" w:rsidR="001836DF" w:rsidRPr="004E65A4" w:rsidRDefault="005E3CEE" w:rsidP="001836DF">
      <w:pPr>
        <w:pStyle w:val="ListParagraph"/>
        <w:numPr>
          <w:ilvl w:val="0"/>
          <w:numId w:val="21"/>
        </w:numPr>
        <w:rPr>
          <w:rFonts w:cstheme="minorHAnsi"/>
          <w:sz w:val="22"/>
          <w:szCs w:val="22"/>
          <w:lang w:val="en-IE"/>
        </w:rPr>
      </w:pPr>
      <w:r w:rsidRPr="005E3CEE">
        <w:rPr>
          <w:rFonts w:cstheme="minorHAnsi"/>
          <w:sz w:val="22"/>
          <w:szCs w:val="22"/>
          <w:lang w:val="en-IE"/>
        </w:rPr>
        <w:t xml:space="preserve">In respect of waste in the within documentation, the Division would be obliged if the Local Authority would consult directly with their respective Regional Waste Management Planning Office regarding the development of the final plans. </w:t>
      </w:r>
    </w:p>
    <w:p w14:paraId="7BC97BDE" w14:textId="77777777" w:rsidR="004E65A4" w:rsidRDefault="004E65A4" w:rsidP="001836DF">
      <w:pPr>
        <w:rPr>
          <w:rFonts w:cstheme="minorHAnsi"/>
          <w:sz w:val="22"/>
          <w:szCs w:val="22"/>
        </w:rPr>
      </w:pPr>
    </w:p>
    <w:p w14:paraId="66747E8E" w14:textId="28BD288D" w:rsidR="001836DF" w:rsidRDefault="001836DF" w:rsidP="001836DF">
      <w:pPr>
        <w:rPr>
          <w:rFonts w:cstheme="minorHAnsi"/>
          <w:sz w:val="22"/>
          <w:szCs w:val="22"/>
        </w:rPr>
      </w:pPr>
      <w:r>
        <w:rPr>
          <w:rFonts w:cstheme="minorHAnsi"/>
          <w:sz w:val="22"/>
          <w:szCs w:val="22"/>
        </w:rPr>
        <w:t xml:space="preserve">The </w:t>
      </w:r>
      <w:r w:rsidRPr="001836DF">
        <w:rPr>
          <w:rFonts w:cstheme="minorHAnsi"/>
          <w:b/>
          <w:sz w:val="22"/>
          <w:szCs w:val="22"/>
        </w:rPr>
        <w:t xml:space="preserve">Department of Tourism, Culture, Arts, Gaeltacht, Sport and Media (Development Applications Unit) </w:t>
      </w:r>
      <w:r>
        <w:rPr>
          <w:rFonts w:cstheme="minorHAnsi"/>
          <w:sz w:val="22"/>
          <w:szCs w:val="22"/>
        </w:rPr>
        <w:t xml:space="preserve">made the following heritage related observations: </w:t>
      </w:r>
    </w:p>
    <w:p w14:paraId="7C0D58DA" w14:textId="10B14CDA" w:rsidR="001836DF" w:rsidRDefault="001836DF" w:rsidP="001836DF">
      <w:pPr>
        <w:pStyle w:val="ListParagraph"/>
        <w:numPr>
          <w:ilvl w:val="0"/>
          <w:numId w:val="21"/>
        </w:numPr>
        <w:rPr>
          <w:rFonts w:cstheme="minorHAnsi"/>
          <w:sz w:val="22"/>
          <w:szCs w:val="22"/>
        </w:rPr>
      </w:pPr>
      <w:r>
        <w:rPr>
          <w:rFonts w:cstheme="minorHAnsi"/>
          <w:sz w:val="22"/>
          <w:szCs w:val="22"/>
        </w:rPr>
        <w:t xml:space="preserve">The Department notes </w:t>
      </w:r>
      <w:r w:rsidR="00416E4F">
        <w:rPr>
          <w:rFonts w:cstheme="minorHAnsi"/>
          <w:sz w:val="22"/>
          <w:szCs w:val="22"/>
        </w:rPr>
        <w:t>that the area of the proposed re-zoning is proposed to be designated a Strategic Development and Regeneration Area (SDRA), which includes</w:t>
      </w:r>
      <w:r>
        <w:rPr>
          <w:rFonts w:cstheme="minorHAnsi"/>
          <w:sz w:val="22"/>
          <w:szCs w:val="22"/>
        </w:rPr>
        <w:t xml:space="preserve"> the</w:t>
      </w:r>
      <w:r w:rsidR="00416E4F">
        <w:rPr>
          <w:rFonts w:cstheme="minorHAnsi"/>
          <w:sz w:val="22"/>
          <w:szCs w:val="22"/>
        </w:rPr>
        <w:t xml:space="preserve"> requirement</w:t>
      </w:r>
      <w:r>
        <w:rPr>
          <w:rFonts w:cstheme="minorHAnsi"/>
          <w:sz w:val="22"/>
          <w:szCs w:val="22"/>
        </w:rPr>
        <w:t xml:space="preserve"> for a Green Infrastructure Strategy to be incorporated into </w:t>
      </w:r>
      <w:r w:rsidR="00416E4F">
        <w:rPr>
          <w:rFonts w:cstheme="minorHAnsi"/>
          <w:sz w:val="22"/>
          <w:szCs w:val="22"/>
        </w:rPr>
        <w:t xml:space="preserve">a Masterplan for the area. </w:t>
      </w:r>
    </w:p>
    <w:p w14:paraId="72DBD79E" w14:textId="173F8CE8" w:rsidR="001836DF" w:rsidRDefault="001836DF" w:rsidP="001836DF">
      <w:pPr>
        <w:pStyle w:val="ListParagraph"/>
        <w:numPr>
          <w:ilvl w:val="0"/>
          <w:numId w:val="21"/>
        </w:numPr>
        <w:rPr>
          <w:rFonts w:cstheme="minorHAnsi"/>
          <w:sz w:val="22"/>
          <w:szCs w:val="22"/>
        </w:rPr>
      </w:pPr>
      <w:r w:rsidRPr="001836DF">
        <w:rPr>
          <w:rFonts w:cstheme="minorHAnsi"/>
          <w:sz w:val="22"/>
          <w:szCs w:val="22"/>
        </w:rPr>
        <w:t xml:space="preserve">The Department appreciates and welcomes that </w:t>
      </w:r>
      <w:r>
        <w:rPr>
          <w:rFonts w:cstheme="minorHAnsi"/>
          <w:sz w:val="22"/>
          <w:szCs w:val="22"/>
        </w:rPr>
        <w:t>a Green Infrastructure Strategy</w:t>
      </w:r>
      <w:r w:rsidRPr="001836DF">
        <w:rPr>
          <w:rFonts w:cstheme="minorHAnsi"/>
          <w:sz w:val="22"/>
          <w:szCs w:val="22"/>
        </w:rPr>
        <w:t xml:space="preserve"> will include provision for the </w:t>
      </w:r>
      <w:proofErr w:type="spellStart"/>
      <w:r w:rsidRPr="001836DF">
        <w:rPr>
          <w:rFonts w:cstheme="minorHAnsi"/>
          <w:sz w:val="22"/>
          <w:szCs w:val="22"/>
        </w:rPr>
        <w:t>deculverting</w:t>
      </w:r>
      <w:proofErr w:type="spellEnd"/>
      <w:r w:rsidRPr="001836DF">
        <w:rPr>
          <w:rFonts w:cstheme="minorHAnsi"/>
          <w:sz w:val="22"/>
          <w:szCs w:val="22"/>
        </w:rPr>
        <w:t xml:space="preserve"> of the branch of the </w:t>
      </w:r>
      <w:proofErr w:type="spellStart"/>
      <w:r w:rsidRPr="001836DF">
        <w:rPr>
          <w:rFonts w:cstheme="minorHAnsi"/>
          <w:sz w:val="22"/>
          <w:szCs w:val="22"/>
        </w:rPr>
        <w:t>Finglas</w:t>
      </w:r>
      <w:proofErr w:type="spellEnd"/>
      <w:r w:rsidRPr="001836DF">
        <w:rPr>
          <w:rFonts w:cstheme="minorHAnsi"/>
          <w:sz w:val="22"/>
          <w:szCs w:val="22"/>
        </w:rPr>
        <w:t xml:space="preserve"> Stream which drains the subject lands and the establishment of riparian zones</w:t>
      </w:r>
      <w:r>
        <w:rPr>
          <w:rFonts w:cstheme="minorHAnsi"/>
          <w:sz w:val="22"/>
          <w:szCs w:val="22"/>
        </w:rPr>
        <w:t xml:space="preserve"> along its banks. </w:t>
      </w:r>
    </w:p>
    <w:p w14:paraId="28782E6F" w14:textId="77777777" w:rsidR="00825A6E" w:rsidRDefault="001836DF" w:rsidP="00825A6E">
      <w:pPr>
        <w:pStyle w:val="ListParagraph"/>
        <w:numPr>
          <w:ilvl w:val="0"/>
          <w:numId w:val="21"/>
        </w:numPr>
        <w:rPr>
          <w:rFonts w:cstheme="minorHAnsi"/>
          <w:sz w:val="22"/>
          <w:szCs w:val="22"/>
        </w:rPr>
      </w:pPr>
      <w:r>
        <w:rPr>
          <w:rFonts w:cstheme="minorHAnsi"/>
          <w:sz w:val="22"/>
          <w:szCs w:val="22"/>
        </w:rPr>
        <w:t xml:space="preserve">It is stated that this approach should significantly improve the water quality of this stream and enhance the biodiversity of the re-zoned area. </w:t>
      </w:r>
    </w:p>
    <w:p w14:paraId="13938BB0" w14:textId="7BA5F36A" w:rsidR="00825A6E" w:rsidRPr="00825A6E" w:rsidRDefault="00825A6E" w:rsidP="00825A6E">
      <w:pPr>
        <w:pStyle w:val="ListParagraph"/>
        <w:numPr>
          <w:ilvl w:val="0"/>
          <w:numId w:val="21"/>
        </w:numPr>
        <w:rPr>
          <w:rFonts w:cstheme="minorHAnsi"/>
          <w:sz w:val="22"/>
          <w:szCs w:val="22"/>
        </w:rPr>
      </w:pPr>
      <w:r w:rsidRPr="00825A6E">
        <w:rPr>
          <w:rFonts w:cstheme="minorHAnsi"/>
          <w:sz w:val="22"/>
          <w:szCs w:val="22"/>
        </w:rPr>
        <w:t>It is requested that further communications be sent to the Development Applications Unit.</w:t>
      </w:r>
    </w:p>
    <w:p w14:paraId="618A1080" w14:textId="15CB02E8" w:rsidR="00775FE0" w:rsidRDefault="00775FE0" w:rsidP="00775FE0">
      <w:pPr>
        <w:rPr>
          <w:rFonts w:cstheme="minorHAnsi"/>
          <w:sz w:val="22"/>
          <w:szCs w:val="22"/>
        </w:rPr>
      </w:pPr>
      <w:r>
        <w:rPr>
          <w:rFonts w:cstheme="minorHAnsi"/>
          <w:sz w:val="22"/>
          <w:szCs w:val="22"/>
        </w:rPr>
        <w:lastRenderedPageBreak/>
        <w:t xml:space="preserve">The observations received have been considered by the Planning Authority in making a </w:t>
      </w:r>
      <w:r w:rsidR="005E3CEE">
        <w:rPr>
          <w:rFonts w:cstheme="minorHAnsi"/>
          <w:sz w:val="22"/>
          <w:szCs w:val="22"/>
        </w:rPr>
        <w:t xml:space="preserve">final </w:t>
      </w:r>
      <w:r>
        <w:rPr>
          <w:rFonts w:cstheme="minorHAnsi"/>
          <w:sz w:val="22"/>
          <w:szCs w:val="22"/>
        </w:rPr>
        <w:t xml:space="preserve">determination on the requirement </w:t>
      </w:r>
      <w:r w:rsidR="005E3CEE">
        <w:rPr>
          <w:rFonts w:cstheme="minorHAnsi"/>
          <w:sz w:val="22"/>
          <w:szCs w:val="22"/>
        </w:rPr>
        <w:t xml:space="preserve">for SEA, pursuant to proposed Variation No. 33 of the Dublin City Development Plan 2016-2022. </w:t>
      </w:r>
    </w:p>
    <w:p w14:paraId="4BABB16A" w14:textId="09C66F04" w:rsidR="68F3E61A" w:rsidRPr="006431E5" w:rsidRDefault="00775FE0" w:rsidP="001E3652">
      <w:pPr>
        <w:pStyle w:val="Heading1"/>
        <w:rPr>
          <w:rFonts w:asciiTheme="minorHAnsi" w:eastAsiaTheme="minorEastAsia" w:hAnsiTheme="minorHAnsi" w:cstheme="minorHAnsi"/>
          <w:sz w:val="22"/>
          <w:szCs w:val="22"/>
        </w:rPr>
      </w:pPr>
      <w:bookmarkStart w:id="20" w:name="_Toc66806901"/>
      <w:r>
        <w:rPr>
          <w:rFonts w:asciiTheme="minorHAnsi" w:eastAsiaTheme="minorEastAsia" w:hAnsiTheme="minorHAnsi" w:cstheme="minorHAnsi"/>
          <w:sz w:val="22"/>
          <w:szCs w:val="22"/>
        </w:rPr>
        <w:t>7</w:t>
      </w:r>
      <w:r w:rsidR="68F3E61A" w:rsidRPr="006431E5">
        <w:rPr>
          <w:rFonts w:asciiTheme="minorHAnsi" w:eastAsiaTheme="minorEastAsia" w:hAnsiTheme="minorHAnsi" w:cstheme="minorHAnsi"/>
          <w:sz w:val="22"/>
          <w:szCs w:val="22"/>
        </w:rPr>
        <w:t xml:space="preserve">.0 </w:t>
      </w:r>
      <w:r>
        <w:rPr>
          <w:rFonts w:asciiTheme="minorHAnsi" w:eastAsiaTheme="minorEastAsia" w:hAnsiTheme="minorHAnsi" w:cstheme="minorHAnsi"/>
          <w:sz w:val="22"/>
          <w:szCs w:val="22"/>
        </w:rPr>
        <w:t>Determination</w:t>
      </w:r>
      <w:bookmarkEnd w:id="20"/>
      <w:r w:rsidR="00007255" w:rsidRPr="006431E5">
        <w:rPr>
          <w:rFonts w:asciiTheme="minorHAnsi" w:eastAsiaTheme="minorEastAsia" w:hAnsiTheme="minorHAnsi" w:cstheme="minorHAnsi"/>
          <w:sz w:val="22"/>
          <w:szCs w:val="22"/>
        </w:rPr>
        <w:t xml:space="preserve"> </w:t>
      </w:r>
    </w:p>
    <w:p w14:paraId="48F98286" w14:textId="3CDBFF22" w:rsidR="02BDDB5A" w:rsidRPr="00BB01A4" w:rsidRDefault="02BDDB5A" w:rsidP="001E3652">
      <w:r w:rsidRPr="00BB01A4">
        <w:rPr>
          <w:rFonts w:cstheme="minorHAnsi"/>
          <w:sz w:val="22"/>
          <w:szCs w:val="22"/>
        </w:rPr>
        <w:t>Having regard</w:t>
      </w:r>
      <w:r w:rsidR="603DEA00" w:rsidRPr="00BB01A4">
        <w:rPr>
          <w:rFonts w:cstheme="minorHAnsi"/>
          <w:sz w:val="22"/>
          <w:szCs w:val="22"/>
        </w:rPr>
        <w:t xml:space="preserve"> </w:t>
      </w:r>
      <w:r w:rsidRPr="00BB01A4">
        <w:rPr>
          <w:rFonts w:cstheme="minorHAnsi"/>
          <w:sz w:val="22"/>
          <w:szCs w:val="22"/>
        </w:rPr>
        <w:t xml:space="preserve">to </w:t>
      </w:r>
      <w:r w:rsidR="603DEA00" w:rsidRPr="00BB01A4">
        <w:rPr>
          <w:rFonts w:cstheme="minorHAnsi"/>
          <w:sz w:val="22"/>
          <w:szCs w:val="22"/>
        </w:rPr>
        <w:t>the provisions of</w:t>
      </w:r>
      <w:r w:rsidR="00BB01A4" w:rsidRPr="00BB01A4">
        <w:t xml:space="preserve"> Article 13K and Schedule 2A of the Planning and Development (Strategic Environmental Assessment) Regulation 2004-2011</w:t>
      </w:r>
      <w:r w:rsidR="603DEA00" w:rsidRPr="00BB01A4">
        <w:rPr>
          <w:rFonts w:cstheme="minorHAnsi"/>
          <w:sz w:val="22"/>
          <w:szCs w:val="22"/>
        </w:rPr>
        <w:t>, following the appropriate consultation period</w:t>
      </w:r>
      <w:r w:rsidR="00775FE0" w:rsidRPr="00BB01A4">
        <w:rPr>
          <w:rFonts w:cstheme="minorHAnsi"/>
          <w:sz w:val="22"/>
          <w:szCs w:val="22"/>
        </w:rPr>
        <w:t xml:space="preserve"> and </w:t>
      </w:r>
      <w:r w:rsidR="00BB01A4" w:rsidRPr="00BB01A4">
        <w:rPr>
          <w:rFonts w:cstheme="minorHAnsi"/>
          <w:sz w:val="22"/>
          <w:szCs w:val="22"/>
        </w:rPr>
        <w:t xml:space="preserve">consideration of </w:t>
      </w:r>
      <w:r w:rsidR="00775FE0" w:rsidRPr="00BB01A4">
        <w:rPr>
          <w:rFonts w:cstheme="minorHAnsi"/>
          <w:sz w:val="22"/>
          <w:szCs w:val="22"/>
        </w:rPr>
        <w:t>the submissions/observations received,</w:t>
      </w:r>
      <w:r w:rsidR="603DEA00" w:rsidRPr="00BB01A4">
        <w:rPr>
          <w:rFonts w:cstheme="minorHAnsi"/>
          <w:sz w:val="22"/>
          <w:szCs w:val="22"/>
        </w:rPr>
        <w:t xml:space="preserve"> the </w:t>
      </w:r>
      <w:r w:rsidR="5FD71A19" w:rsidRPr="00BB01A4">
        <w:rPr>
          <w:rFonts w:cstheme="minorHAnsi"/>
          <w:sz w:val="22"/>
          <w:szCs w:val="22"/>
        </w:rPr>
        <w:t>P</w:t>
      </w:r>
      <w:r w:rsidR="603DEA00" w:rsidRPr="00BB01A4">
        <w:rPr>
          <w:rFonts w:cstheme="minorHAnsi"/>
          <w:sz w:val="22"/>
          <w:szCs w:val="22"/>
        </w:rPr>
        <w:t xml:space="preserve">lanning </w:t>
      </w:r>
      <w:r w:rsidR="0DB22F7B" w:rsidRPr="00BB01A4">
        <w:rPr>
          <w:rFonts w:cstheme="minorHAnsi"/>
          <w:sz w:val="22"/>
          <w:szCs w:val="22"/>
        </w:rPr>
        <w:t>A</w:t>
      </w:r>
      <w:r w:rsidR="603DEA00" w:rsidRPr="00BB01A4">
        <w:rPr>
          <w:rFonts w:cstheme="minorHAnsi"/>
          <w:sz w:val="22"/>
          <w:szCs w:val="22"/>
        </w:rPr>
        <w:t xml:space="preserve">uthority </w:t>
      </w:r>
      <w:r w:rsidR="00775FE0" w:rsidRPr="00BB01A4">
        <w:rPr>
          <w:rFonts w:cstheme="minorHAnsi"/>
          <w:sz w:val="22"/>
          <w:szCs w:val="22"/>
        </w:rPr>
        <w:t>has</w:t>
      </w:r>
      <w:r w:rsidR="603DEA00" w:rsidRPr="00BB01A4">
        <w:rPr>
          <w:rFonts w:cstheme="minorHAnsi"/>
          <w:sz w:val="22"/>
          <w:szCs w:val="22"/>
        </w:rPr>
        <w:t xml:space="preserve"> determine</w:t>
      </w:r>
      <w:r w:rsidR="00775FE0" w:rsidRPr="00BB01A4">
        <w:rPr>
          <w:rFonts w:cstheme="minorHAnsi"/>
          <w:sz w:val="22"/>
          <w:szCs w:val="22"/>
        </w:rPr>
        <w:t>d</w:t>
      </w:r>
      <w:r w:rsidR="603DEA00" w:rsidRPr="00BB01A4">
        <w:rPr>
          <w:rFonts w:cstheme="minorHAnsi"/>
          <w:sz w:val="22"/>
          <w:szCs w:val="22"/>
        </w:rPr>
        <w:t xml:space="preserve"> </w:t>
      </w:r>
      <w:r w:rsidR="00775FE0" w:rsidRPr="00BB01A4">
        <w:rPr>
          <w:rFonts w:cstheme="minorHAnsi"/>
          <w:sz w:val="22"/>
          <w:szCs w:val="22"/>
        </w:rPr>
        <w:t>t</w:t>
      </w:r>
      <w:r w:rsidR="00444A27" w:rsidRPr="00BB01A4">
        <w:rPr>
          <w:rFonts w:cstheme="minorHAnsi"/>
          <w:sz w:val="22"/>
          <w:szCs w:val="22"/>
        </w:rPr>
        <w:t>hat</w:t>
      </w:r>
      <w:r w:rsidR="00775FE0" w:rsidRPr="00BB01A4">
        <w:rPr>
          <w:rFonts w:cstheme="minorHAnsi"/>
          <w:sz w:val="22"/>
          <w:szCs w:val="22"/>
        </w:rPr>
        <w:t xml:space="preserve"> proposed V</w:t>
      </w:r>
      <w:r w:rsidR="603DEA00" w:rsidRPr="00BB01A4">
        <w:rPr>
          <w:rFonts w:cstheme="minorHAnsi"/>
          <w:sz w:val="22"/>
          <w:szCs w:val="22"/>
        </w:rPr>
        <w:t>ariation</w:t>
      </w:r>
      <w:r w:rsidR="00775FE0" w:rsidRPr="00BB01A4">
        <w:rPr>
          <w:rFonts w:cstheme="minorHAnsi"/>
          <w:sz w:val="22"/>
          <w:szCs w:val="22"/>
        </w:rPr>
        <w:t xml:space="preserve"> No. 33</w:t>
      </w:r>
      <w:r w:rsidR="603DEA00" w:rsidRPr="00BB01A4">
        <w:rPr>
          <w:rFonts w:cstheme="minorHAnsi"/>
          <w:sz w:val="22"/>
          <w:szCs w:val="22"/>
        </w:rPr>
        <w:t xml:space="preserve"> would </w:t>
      </w:r>
      <w:r w:rsidR="00775FE0" w:rsidRPr="00BB01A4">
        <w:rPr>
          <w:rFonts w:cstheme="minorHAnsi"/>
          <w:sz w:val="22"/>
          <w:szCs w:val="22"/>
        </w:rPr>
        <w:t>not likely</w:t>
      </w:r>
      <w:r w:rsidR="603DEA00" w:rsidRPr="00BB01A4">
        <w:rPr>
          <w:rFonts w:cstheme="minorHAnsi"/>
          <w:sz w:val="22"/>
          <w:szCs w:val="22"/>
        </w:rPr>
        <w:t xml:space="preserve"> have </w:t>
      </w:r>
      <w:r w:rsidR="00775FE0" w:rsidRPr="00BB01A4">
        <w:rPr>
          <w:rFonts w:cstheme="minorHAnsi"/>
          <w:sz w:val="22"/>
          <w:szCs w:val="22"/>
        </w:rPr>
        <w:t xml:space="preserve">a significant effect on the environment. </w:t>
      </w:r>
    </w:p>
    <w:p w14:paraId="4DA1416B" w14:textId="77777777" w:rsidR="00BB01A4" w:rsidRDefault="00BB01A4" w:rsidP="001E3652">
      <w:pPr>
        <w:rPr>
          <w:rFonts w:cstheme="minorHAnsi"/>
          <w:sz w:val="22"/>
          <w:szCs w:val="22"/>
          <w:highlight w:val="yellow"/>
        </w:rPr>
      </w:pPr>
    </w:p>
    <w:p w14:paraId="7BB8C625" w14:textId="65A387E5" w:rsidR="0A2062ED" w:rsidRPr="006431E5" w:rsidRDefault="00775FE0" w:rsidP="001E3652">
      <w:pPr>
        <w:rPr>
          <w:rFonts w:cstheme="minorHAnsi"/>
          <w:sz w:val="22"/>
          <w:szCs w:val="22"/>
        </w:rPr>
      </w:pPr>
      <w:r w:rsidRPr="00BB01A4">
        <w:rPr>
          <w:rFonts w:cstheme="minorHAnsi"/>
          <w:sz w:val="22"/>
          <w:szCs w:val="22"/>
        </w:rPr>
        <w:t>The Planning Authority has considered that a Strategic Environmental A</w:t>
      </w:r>
      <w:r w:rsidR="603DEA00" w:rsidRPr="00BB01A4">
        <w:rPr>
          <w:rFonts w:cstheme="minorHAnsi"/>
          <w:sz w:val="22"/>
          <w:szCs w:val="22"/>
        </w:rPr>
        <w:t>ssessment</w:t>
      </w:r>
      <w:r w:rsidRPr="00BB01A4">
        <w:rPr>
          <w:rFonts w:cstheme="minorHAnsi"/>
          <w:sz w:val="22"/>
          <w:szCs w:val="22"/>
        </w:rPr>
        <w:t xml:space="preserve"> (SEA)</w:t>
      </w:r>
      <w:r w:rsidR="603DEA00" w:rsidRPr="00BB01A4">
        <w:rPr>
          <w:rFonts w:cstheme="minorHAnsi"/>
          <w:sz w:val="22"/>
          <w:szCs w:val="22"/>
        </w:rPr>
        <w:t xml:space="preserve"> is not required in respect</w:t>
      </w:r>
      <w:r w:rsidR="64C6838F" w:rsidRPr="00BB01A4">
        <w:rPr>
          <w:rFonts w:cstheme="minorHAnsi"/>
          <w:sz w:val="22"/>
          <w:szCs w:val="22"/>
        </w:rPr>
        <w:t xml:space="preserve"> </w:t>
      </w:r>
      <w:r w:rsidRPr="00BB01A4">
        <w:rPr>
          <w:rFonts w:cstheme="minorHAnsi"/>
          <w:sz w:val="22"/>
          <w:szCs w:val="22"/>
        </w:rPr>
        <w:t>of</w:t>
      </w:r>
      <w:r w:rsidR="603DEA00" w:rsidRPr="00BB01A4">
        <w:rPr>
          <w:rFonts w:cstheme="minorHAnsi"/>
          <w:sz w:val="22"/>
          <w:szCs w:val="22"/>
        </w:rPr>
        <w:t xml:space="preserve"> Proposed Variation </w:t>
      </w:r>
      <w:r w:rsidRPr="00BB01A4">
        <w:rPr>
          <w:rFonts w:cstheme="minorHAnsi"/>
          <w:sz w:val="22"/>
          <w:szCs w:val="22"/>
        </w:rPr>
        <w:t xml:space="preserve">No. 33 </w:t>
      </w:r>
      <w:r w:rsidR="603DEA00" w:rsidRPr="00BB01A4">
        <w:rPr>
          <w:rFonts w:cstheme="minorHAnsi"/>
          <w:sz w:val="22"/>
          <w:szCs w:val="22"/>
        </w:rPr>
        <w:t>of the Dublin City Development Plan 2016-2022.</w:t>
      </w:r>
    </w:p>
    <w:p w14:paraId="3B2FCF68" w14:textId="07CA6984" w:rsidR="6508F772" w:rsidRPr="003D78FA" w:rsidRDefault="6508F772" w:rsidP="003D78FA">
      <w:pPr>
        <w:jc w:val="left"/>
        <w:rPr>
          <w:rFonts w:cstheme="minorHAnsi"/>
          <w:color w:val="262626" w:themeColor="text1" w:themeTint="D9"/>
          <w:sz w:val="22"/>
          <w:szCs w:val="22"/>
        </w:rPr>
      </w:pPr>
    </w:p>
    <w:p w14:paraId="69CE0CBE" w14:textId="3EE27584" w:rsidR="6508F772" w:rsidRPr="006431E5" w:rsidRDefault="6508F772" w:rsidP="001E3652">
      <w:pPr>
        <w:rPr>
          <w:rFonts w:cstheme="minorHAnsi"/>
          <w:sz w:val="22"/>
          <w:szCs w:val="22"/>
        </w:rPr>
      </w:pPr>
    </w:p>
    <w:sectPr w:rsidR="6508F772" w:rsidRPr="006431E5" w:rsidSect="006152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C6A1" w14:textId="77777777" w:rsidR="00BA16FF" w:rsidRDefault="00EF06BA" w:rsidP="001E3652">
      <w:r>
        <w:separator/>
      </w:r>
    </w:p>
  </w:endnote>
  <w:endnote w:type="continuationSeparator" w:id="0">
    <w:p w14:paraId="338BEFC4" w14:textId="77777777" w:rsidR="00BA16FF" w:rsidRDefault="00EF06BA" w:rsidP="001E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37166"/>
      <w:docPartObj>
        <w:docPartGallery w:val="Page Numbers (Bottom of Page)"/>
        <w:docPartUnique/>
      </w:docPartObj>
    </w:sdtPr>
    <w:sdtEndPr>
      <w:rPr>
        <w:noProof/>
      </w:rPr>
    </w:sdtEndPr>
    <w:sdtContent>
      <w:p w14:paraId="7C11F2B2" w14:textId="752B36DB" w:rsidR="006152D9" w:rsidRDefault="006152D9">
        <w:pPr>
          <w:pStyle w:val="Footer"/>
          <w:jc w:val="right"/>
        </w:pPr>
        <w:r>
          <w:fldChar w:fldCharType="begin"/>
        </w:r>
        <w:r>
          <w:instrText xml:space="preserve"> PAGE   \* MERGEFORMAT </w:instrText>
        </w:r>
        <w:r>
          <w:fldChar w:fldCharType="separate"/>
        </w:r>
        <w:r w:rsidR="00641837">
          <w:rPr>
            <w:noProof/>
          </w:rPr>
          <w:t>17</w:t>
        </w:r>
        <w:r>
          <w:rPr>
            <w:noProof/>
          </w:rPr>
          <w:fldChar w:fldCharType="end"/>
        </w:r>
      </w:p>
    </w:sdtContent>
  </w:sdt>
  <w:p w14:paraId="453F7636" w14:textId="6C5595C1" w:rsidR="6508F772" w:rsidRDefault="6508F772" w:rsidP="001E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B62B7" w14:textId="77777777" w:rsidR="00BA16FF" w:rsidRDefault="00EF06BA" w:rsidP="001E3652">
      <w:r>
        <w:separator/>
      </w:r>
    </w:p>
  </w:footnote>
  <w:footnote w:type="continuationSeparator" w:id="0">
    <w:p w14:paraId="151A27BA" w14:textId="77777777" w:rsidR="00BA16FF" w:rsidRDefault="00EF06BA" w:rsidP="001E3652">
      <w:r>
        <w:continuationSeparator/>
      </w:r>
    </w:p>
  </w:footnote>
  <w:footnote w:id="1">
    <w:p w14:paraId="47C54725" w14:textId="77777777" w:rsidR="005A61BD" w:rsidRPr="007E33E5" w:rsidRDefault="005A61BD" w:rsidP="005A61BD">
      <w:pPr>
        <w:pStyle w:val="FootnoteText"/>
      </w:pPr>
      <w:r>
        <w:rPr>
          <w:rStyle w:val="FootnoteReference"/>
        </w:rPr>
        <w:footnoteRef/>
      </w:r>
      <w:r>
        <w:t xml:space="preserve"> Including but not exclusively SDRA 17 (650-700), SDRA 12 (over half of 800-1,000), SDRA 4 (LAP had reduced this area, less than half likely of 2,000) to be implemented during the Plan lifetime.  Also taken into account are Variations 8-22 which added just under 35 ha of residential and mixed use lands across a range of smaller infill sites. </w:t>
      </w:r>
    </w:p>
  </w:footnote>
  <w:footnote w:id="2">
    <w:p w14:paraId="69123268" w14:textId="77777777" w:rsidR="000C5EB4" w:rsidRPr="007E33E5" w:rsidRDefault="000C5EB4" w:rsidP="000C5EB4">
      <w:pPr>
        <w:pStyle w:val="FootnoteText"/>
      </w:pPr>
      <w:r>
        <w:rPr>
          <w:rStyle w:val="FootnoteReference"/>
        </w:rPr>
        <w:footnoteRef/>
      </w:r>
      <w:r>
        <w:t xml:space="preserve"> Including but not exclusively SDRA 17 (650-700), SDRA 12 (over half of 800-1,000), SDRA 4 (LAP had reduced this area, less than half likely of 2,000) to be implemented during the Plan lifetime.  Also taken into account are Variations 8-22 which added just under 35 ha of residential and mixed use lands across a range of smaller infill sites.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BCE"/>
    <w:multiLevelType w:val="hybridMultilevel"/>
    <w:tmpl w:val="9DFA08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6671B2"/>
    <w:multiLevelType w:val="multilevel"/>
    <w:tmpl w:val="B60A16C4"/>
    <w:lvl w:ilvl="0">
      <w:start w:val="1"/>
      <w:numFmt w:val="decimal"/>
      <w:lvlText w:val="%1."/>
      <w:lvlJc w:val="left"/>
      <w:pPr>
        <w:ind w:left="720" w:hanging="360"/>
      </w:pPr>
      <w:rPr>
        <w:i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7501E73"/>
    <w:multiLevelType w:val="multilevel"/>
    <w:tmpl w:val="F6DAC20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4150D6"/>
    <w:multiLevelType w:val="hybridMultilevel"/>
    <w:tmpl w:val="B3EE273A"/>
    <w:lvl w:ilvl="0" w:tplc="5ADE76E8">
      <w:start w:val="1"/>
      <w:numFmt w:val="lowerLetter"/>
      <w:lvlText w:val="(%1)"/>
      <w:lvlJc w:val="left"/>
      <w:pPr>
        <w:ind w:left="720" w:hanging="360"/>
      </w:pPr>
    </w:lvl>
    <w:lvl w:ilvl="1" w:tplc="16622C3E">
      <w:start w:val="1"/>
      <w:numFmt w:val="lowerLetter"/>
      <w:lvlText w:val="%2."/>
      <w:lvlJc w:val="left"/>
      <w:pPr>
        <w:ind w:left="1440" w:hanging="360"/>
      </w:pPr>
    </w:lvl>
    <w:lvl w:ilvl="2" w:tplc="A19C89DC">
      <w:start w:val="1"/>
      <w:numFmt w:val="lowerRoman"/>
      <w:lvlText w:val="%3."/>
      <w:lvlJc w:val="right"/>
      <w:pPr>
        <w:ind w:left="2160" w:hanging="180"/>
      </w:pPr>
    </w:lvl>
    <w:lvl w:ilvl="3" w:tplc="33D03DE8">
      <w:start w:val="1"/>
      <w:numFmt w:val="decimal"/>
      <w:lvlText w:val="%4."/>
      <w:lvlJc w:val="left"/>
      <w:pPr>
        <w:ind w:left="2880" w:hanging="360"/>
      </w:pPr>
    </w:lvl>
    <w:lvl w:ilvl="4" w:tplc="4AFAB636">
      <w:start w:val="1"/>
      <w:numFmt w:val="lowerLetter"/>
      <w:lvlText w:val="%5."/>
      <w:lvlJc w:val="left"/>
      <w:pPr>
        <w:ind w:left="3600" w:hanging="360"/>
      </w:pPr>
    </w:lvl>
    <w:lvl w:ilvl="5" w:tplc="E91ED788">
      <w:start w:val="1"/>
      <w:numFmt w:val="lowerRoman"/>
      <w:lvlText w:val="%6."/>
      <w:lvlJc w:val="right"/>
      <w:pPr>
        <w:ind w:left="4320" w:hanging="180"/>
      </w:pPr>
    </w:lvl>
    <w:lvl w:ilvl="6" w:tplc="3F841C68">
      <w:start w:val="1"/>
      <w:numFmt w:val="decimal"/>
      <w:lvlText w:val="%7."/>
      <w:lvlJc w:val="left"/>
      <w:pPr>
        <w:ind w:left="5040" w:hanging="360"/>
      </w:pPr>
    </w:lvl>
    <w:lvl w:ilvl="7" w:tplc="0E041D72">
      <w:start w:val="1"/>
      <w:numFmt w:val="lowerLetter"/>
      <w:lvlText w:val="%8."/>
      <w:lvlJc w:val="left"/>
      <w:pPr>
        <w:ind w:left="5760" w:hanging="360"/>
      </w:pPr>
    </w:lvl>
    <w:lvl w:ilvl="8" w:tplc="E69A32FE">
      <w:start w:val="1"/>
      <w:numFmt w:val="lowerRoman"/>
      <w:lvlText w:val="%9."/>
      <w:lvlJc w:val="right"/>
      <w:pPr>
        <w:ind w:left="6480" w:hanging="180"/>
      </w:pPr>
    </w:lvl>
  </w:abstractNum>
  <w:abstractNum w:abstractNumId="4" w15:restartNumberingAfterBreak="0">
    <w:nsid w:val="28C242B2"/>
    <w:multiLevelType w:val="hybridMultilevel"/>
    <w:tmpl w:val="C68A4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1176CB"/>
    <w:multiLevelType w:val="hybridMultilevel"/>
    <w:tmpl w:val="21D67E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09511E2"/>
    <w:multiLevelType w:val="multilevel"/>
    <w:tmpl w:val="AEE64E34"/>
    <w:styleLink w:val="ReportListNumberStyle"/>
    <w:lvl w:ilvl="0">
      <w:start w:val="1"/>
      <w:numFmt w:val="decimal"/>
      <w:pStyle w:val="ReportListNumber"/>
      <w:lvlText w:val="%1."/>
      <w:lvlJc w:val="left"/>
      <w:pPr>
        <w:tabs>
          <w:tab w:val="num" w:pos="567"/>
        </w:tabs>
        <w:ind w:left="567" w:hanging="567"/>
      </w:pPr>
      <w:rPr>
        <w:rFonts w:hint="default"/>
      </w:rPr>
    </w:lvl>
    <w:lvl w:ilvl="1">
      <w:start w:val="1"/>
      <w:numFmt w:val="lowerLetter"/>
      <w:lvlText w:val="%2."/>
      <w:lvlJc w:val="left"/>
      <w:pPr>
        <w:tabs>
          <w:tab w:val="num" w:pos="924"/>
        </w:tabs>
        <w:ind w:left="924" w:hanging="357"/>
      </w:pPr>
      <w:rPr>
        <w:rFonts w:hint="default"/>
      </w:rPr>
    </w:lvl>
    <w:lvl w:ilvl="2">
      <w:start w:val="1"/>
      <w:numFmt w:val="bullet"/>
      <w:lvlText w:val=""/>
      <w:lvlJc w:val="left"/>
      <w:pPr>
        <w:tabs>
          <w:tab w:val="num" w:pos="1281"/>
        </w:tabs>
        <w:ind w:left="1281" w:hanging="357"/>
      </w:pPr>
      <w:rPr>
        <w:rFonts w:ascii="Symbol" w:hAnsi="Symbol" w:hint="default"/>
      </w:rPr>
    </w:lvl>
    <w:lvl w:ilvl="3">
      <w:start w:val="1"/>
      <w:numFmt w:val="bullet"/>
      <w:lvlText w:val=""/>
      <w:lvlJc w:val="left"/>
      <w:pPr>
        <w:tabs>
          <w:tab w:val="num" w:pos="1684"/>
        </w:tabs>
        <w:ind w:left="1684" w:hanging="403"/>
      </w:pPr>
      <w:rPr>
        <w:rFonts w:ascii="Symbol" w:hAnsi="Symbol" w:hint="default"/>
      </w:rPr>
    </w:lvl>
    <w:lvl w:ilvl="4">
      <w:start w:val="1"/>
      <w:numFmt w:val="bullet"/>
      <w:lvlText w:val=""/>
      <w:lvlJc w:val="left"/>
      <w:pPr>
        <w:tabs>
          <w:tab w:val="num" w:pos="2041"/>
        </w:tabs>
        <w:ind w:left="2041" w:hanging="357"/>
      </w:pPr>
      <w:rPr>
        <w:rFonts w:ascii="Symbol" w:hAnsi="Symbol" w:hint="default"/>
      </w:rPr>
    </w:lvl>
    <w:lvl w:ilvl="5">
      <w:start w:val="1"/>
      <w:numFmt w:val="lowerRoman"/>
      <w:lvlText w:val="%6."/>
      <w:lvlJc w:val="right"/>
      <w:pPr>
        <w:tabs>
          <w:tab w:val="num" w:pos="2352"/>
        </w:tabs>
        <w:ind w:left="2142" w:hanging="357"/>
      </w:pPr>
      <w:rPr>
        <w:rFonts w:hint="default"/>
      </w:rPr>
    </w:lvl>
    <w:lvl w:ilvl="6">
      <w:start w:val="1"/>
      <w:numFmt w:val="decimal"/>
      <w:lvlText w:val="%7."/>
      <w:lvlJc w:val="left"/>
      <w:pPr>
        <w:tabs>
          <w:tab w:val="num" w:pos="2709"/>
        </w:tabs>
        <w:ind w:left="2499" w:hanging="357"/>
      </w:pPr>
      <w:rPr>
        <w:rFonts w:hint="default"/>
      </w:rPr>
    </w:lvl>
    <w:lvl w:ilvl="7">
      <w:start w:val="1"/>
      <w:numFmt w:val="lowerLetter"/>
      <w:lvlText w:val="%8."/>
      <w:lvlJc w:val="left"/>
      <w:pPr>
        <w:tabs>
          <w:tab w:val="num" w:pos="3066"/>
        </w:tabs>
        <w:ind w:left="2856" w:hanging="357"/>
      </w:pPr>
      <w:rPr>
        <w:rFonts w:hint="default"/>
      </w:rPr>
    </w:lvl>
    <w:lvl w:ilvl="8">
      <w:start w:val="1"/>
      <w:numFmt w:val="lowerRoman"/>
      <w:lvlText w:val="%9."/>
      <w:lvlJc w:val="right"/>
      <w:pPr>
        <w:tabs>
          <w:tab w:val="num" w:pos="3423"/>
        </w:tabs>
        <w:ind w:left="3213" w:hanging="357"/>
      </w:pPr>
      <w:rPr>
        <w:rFonts w:hint="default"/>
      </w:rPr>
    </w:lvl>
  </w:abstractNum>
  <w:abstractNum w:abstractNumId="7" w15:restartNumberingAfterBreak="0">
    <w:nsid w:val="31E9702E"/>
    <w:multiLevelType w:val="hybridMultilevel"/>
    <w:tmpl w:val="AC92E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662D39"/>
    <w:multiLevelType w:val="hybridMultilevel"/>
    <w:tmpl w:val="467EA6A6"/>
    <w:lvl w:ilvl="0" w:tplc="8BEA071C">
      <w:start w:val="1"/>
      <w:numFmt w:val="bullet"/>
      <w:lvlText w:val=""/>
      <w:lvlJc w:val="left"/>
      <w:pPr>
        <w:ind w:left="720" w:hanging="360"/>
      </w:pPr>
      <w:rPr>
        <w:rFonts w:ascii="Symbol" w:hAnsi="Symbol" w:hint="default"/>
      </w:rPr>
    </w:lvl>
    <w:lvl w:ilvl="1" w:tplc="1E5C0AEE" w:tentative="1">
      <w:start w:val="1"/>
      <w:numFmt w:val="bullet"/>
      <w:lvlText w:val="o"/>
      <w:lvlJc w:val="left"/>
      <w:pPr>
        <w:ind w:left="1440" w:hanging="360"/>
      </w:pPr>
      <w:rPr>
        <w:rFonts w:ascii="Courier New" w:hAnsi="Courier New" w:cs="Courier New" w:hint="default"/>
      </w:rPr>
    </w:lvl>
    <w:lvl w:ilvl="2" w:tplc="8E9ED1CC" w:tentative="1">
      <w:start w:val="1"/>
      <w:numFmt w:val="bullet"/>
      <w:lvlText w:val=""/>
      <w:lvlJc w:val="left"/>
      <w:pPr>
        <w:ind w:left="2160" w:hanging="360"/>
      </w:pPr>
      <w:rPr>
        <w:rFonts w:ascii="Wingdings" w:hAnsi="Wingdings" w:hint="default"/>
      </w:rPr>
    </w:lvl>
    <w:lvl w:ilvl="3" w:tplc="21D2D912" w:tentative="1">
      <w:start w:val="1"/>
      <w:numFmt w:val="bullet"/>
      <w:lvlText w:val=""/>
      <w:lvlJc w:val="left"/>
      <w:pPr>
        <w:ind w:left="2880" w:hanging="360"/>
      </w:pPr>
      <w:rPr>
        <w:rFonts w:ascii="Symbol" w:hAnsi="Symbol" w:hint="default"/>
      </w:rPr>
    </w:lvl>
    <w:lvl w:ilvl="4" w:tplc="346C69A4" w:tentative="1">
      <w:start w:val="1"/>
      <w:numFmt w:val="bullet"/>
      <w:lvlText w:val="o"/>
      <w:lvlJc w:val="left"/>
      <w:pPr>
        <w:ind w:left="3600" w:hanging="360"/>
      </w:pPr>
      <w:rPr>
        <w:rFonts w:ascii="Courier New" w:hAnsi="Courier New" w:cs="Courier New" w:hint="default"/>
      </w:rPr>
    </w:lvl>
    <w:lvl w:ilvl="5" w:tplc="56849EBC" w:tentative="1">
      <w:start w:val="1"/>
      <w:numFmt w:val="bullet"/>
      <w:lvlText w:val=""/>
      <w:lvlJc w:val="left"/>
      <w:pPr>
        <w:ind w:left="4320" w:hanging="360"/>
      </w:pPr>
      <w:rPr>
        <w:rFonts w:ascii="Wingdings" w:hAnsi="Wingdings" w:hint="default"/>
      </w:rPr>
    </w:lvl>
    <w:lvl w:ilvl="6" w:tplc="06DCA1E6" w:tentative="1">
      <w:start w:val="1"/>
      <w:numFmt w:val="bullet"/>
      <w:lvlText w:val=""/>
      <w:lvlJc w:val="left"/>
      <w:pPr>
        <w:ind w:left="5040" w:hanging="360"/>
      </w:pPr>
      <w:rPr>
        <w:rFonts w:ascii="Symbol" w:hAnsi="Symbol" w:hint="default"/>
      </w:rPr>
    </w:lvl>
    <w:lvl w:ilvl="7" w:tplc="7DC44680" w:tentative="1">
      <w:start w:val="1"/>
      <w:numFmt w:val="bullet"/>
      <w:lvlText w:val="o"/>
      <w:lvlJc w:val="left"/>
      <w:pPr>
        <w:ind w:left="5760" w:hanging="360"/>
      </w:pPr>
      <w:rPr>
        <w:rFonts w:ascii="Courier New" w:hAnsi="Courier New" w:cs="Courier New" w:hint="default"/>
      </w:rPr>
    </w:lvl>
    <w:lvl w:ilvl="8" w:tplc="1D72E830" w:tentative="1">
      <w:start w:val="1"/>
      <w:numFmt w:val="bullet"/>
      <w:lvlText w:val=""/>
      <w:lvlJc w:val="left"/>
      <w:pPr>
        <w:ind w:left="6480" w:hanging="360"/>
      </w:pPr>
      <w:rPr>
        <w:rFonts w:ascii="Wingdings" w:hAnsi="Wingdings" w:hint="default"/>
      </w:rPr>
    </w:lvl>
  </w:abstractNum>
  <w:abstractNum w:abstractNumId="9" w15:restartNumberingAfterBreak="0">
    <w:nsid w:val="3D0C3DA6"/>
    <w:multiLevelType w:val="hybridMultilevel"/>
    <w:tmpl w:val="B9AA2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447977"/>
    <w:multiLevelType w:val="hybridMultilevel"/>
    <w:tmpl w:val="28081066"/>
    <w:lvl w:ilvl="0" w:tplc="9048B7B6">
      <w:start w:val="1"/>
      <w:numFmt w:val="bullet"/>
      <w:lvlText w:val=""/>
      <w:lvlJc w:val="left"/>
      <w:pPr>
        <w:ind w:left="720" w:hanging="360"/>
      </w:pPr>
      <w:rPr>
        <w:rFonts w:ascii="Symbol" w:hAnsi="Symbol" w:hint="default"/>
      </w:rPr>
    </w:lvl>
    <w:lvl w:ilvl="1" w:tplc="58286A2C">
      <w:start w:val="1"/>
      <w:numFmt w:val="bullet"/>
      <w:lvlText w:val="o"/>
      <w:lvlJc w:val="left"/>
      <w:pPr>
        <w:ind w:left="1440" w:hanging="360"/>
      </w:pPr>
      <w:rPr>
        <w:rFonts w:ascii="Courier New" w:hAnsi="Courier New" w:hint="default"/>
      </w:rPr>
    </w:lvl>
    <w:lvl w:ilvl="2" w:tplc="860E6F00">
      <w:start w:val="1"/>
      <w:numFmt w:val="bullet"/>
      <w:lvlText w:val=""/>
      <w:lvlJc w:val="left"/>
      <w:pPr>
        <w:ind w:left="2160" w:hanging="360"/>
      </w:pPr>
      <w:rPr>
        <w:rFonts w:ascii="Wingdings" w:hAnsi="Wingdings" w:hint="default"/>
      </w:rPr>
    </w:lvl>
    <w:lvl w:ilvl="3" w:tplc="E922723E">
      <w:start w:val="1"/>
      <w:numFmt w:val="bullet"/>
      <w:lvlText w:val=""/>
      <w:lvlJc w:val="left"/>
      <w:pPr>
        <w:ind w:left="2880" w:hanging="360"/>
      </w:pPr>
      <w:rPr>
        <w:rFonts w:ascii="Symbol" w:hAnsi="Symbol" w:hint="default"/>
      </w:rPr>
    </w:lvl>
    <w:lvl w:ilvl="4" w:tplc="3398D460">
      <w:start w:val="1"/>
      <w:numFmt w:val="bullet"/>
      <w:lvlText w:val="o"/>
      <w:lvlJc w:val="left"/>
      <w:pPr>
        <w:ind w:left="3600" w:hanging="360"/>
      </w:pPr>
      <w:rPr>
        <w:rFonts w:ascii="Courier New" w:hAnsi="Courier New" w:hint="default"/>
      </w:rPr>
    </w:lvl>
    <w:lvl w:ilvl="5" w:tplc="246EF934">
      <w:start w:val="1"/>
      <w:numFmt w:val="bullet"/>
      <w:lvlText w:val=""/>
      <w:lvlJc w:val="left"/>
      <w:pPr>
        <w:ind w:left="4320" w:hanging="360"/>
      </w:pPr>
      <w:rPr>
        <w:rFonts w:ascii="Wingdings" w:hAnsi="Wingdings" w:hint="default"/>
      </w:rPr>
    </w:lvl>
    <w:lvl w:ilvl="6" w:tplc="F4FE5EA4">
      <w:start w:val="1"/>
      <w:numFmt w:val="bullet"/>
      <w:lvlText w:val=""/>
      <w:lvlJc w:val="left"/>
      <w:pPr>
        <w:ind w:left="5040" w:hanging="360"/>
      </w:pPr>
      <w:rPr>
        <w:rFonts w:ascii="Symbol" w:hAnsi="Symbol" w:hint="default"/>
      </w:rPr>
    </w:lvl>
    <w:lvl w:ilvl="7" w:tplc="139214A8">
      <w:start w:val="1"/>
      <w:numFmt w:val="bullet"/>
      <w:lvlText w:val="o"/>
      <w:lvlJc w:val="left"/>
      <w:pPr>
        <w:ind w:left="5760" w:hanging="360"/>
      </w:pPr>
      <w:rPr>
        <w:rFonts w:ascii="Courier New" w:hAnsi="Courier New" w:hint="default"/>
      </w:rPr>
    </w:lvl>
    <w:lvl w:ilvl="8" w:tplc="B1661424">
      <w:start w:val="1"/>
      <w:numFmt w:val="bullet"/>
      <w:lvlText w:val=""/>
      <w:lvlJc w:val="left"/>
      <w:pPr>
        <w:ind w:left="6480" w:hanging="360"/>
      </w:pPr>
      <w:rPr>
        <w:rFonts w:ascii="Wingdings" w:hAnsi="Wingdings" w:hint="default"/>
      </w:rPr>
    </w:lvl>
  </w:abstractNum>
  <w:abstractNum w:abstractNumId="11" w15:restartNumberingAfterBreak="0">
    <w:nsid w:val="4BB0756B"/>
    <w:multiLevelType w:val="hybridMultilevel"/>
    <w:tmpl w:val="9DE4C466"/>
    <w:lvl w:ilvl="0" w:tplc="DBB40484">
      <w:start w:val="1"/>
      <w:numFmt w:val="bullet"/>
      <w:lvlText w:val=""/>
      <w:lvlJc w:val="left"/>
      <w:pPr>
        <w:ind w:left="720" w:hanging="360"/>
      </w:pPr>
      <w:rPr>
        <w:rFonts w:ascii="Symbol" w:hAnsi="Symbol" w:hint="default"/>
      </w:rPr>
    </w:lvl>
    <w:lvl w:ilvl="1" w:tplc="B8D206E6" w:tentative="1">
      <w:start w:val="1"/>
      <w:numFmt w:val="bullet"/>
      <w:lvlText w:val="o"/>
      <w:lvlJc w:val="left"/>
      <w:pPr>
        <w:ind w:left="1440" w:hanging="360"/>
      </w:pPr>
      <w:rPr>
        <w:rFonts w:ascii="Courier New" w:hAnsi="Courier New" w:cs="Courier New" w:hint="default"/>
      </w:rPr>
    </w:lvl>
    <w:lvl w:ilvl="2" w:tplc="2130BA32" w:tentative="1">
      <w:start w:val="1"/>
      <w:numFmt w:val="bullet"/>
      <w:lvlText w:val=""/>
      <w:lvlJc w:val="left"/>
      <w:pPr>
        <w:ind w:left="2160" w:hanging="360"/>
      </w:pPr>
      <w:rPr>
        <w:rFonts w:ascii="Wingdings" w:hAnsi="Wingdings" w:hint="default"/>
      </w:rPr>
    </w:lvl>
    <w:lvl w:ilvl="3" w:tplc="8F589E96" w:tentative="1">
      <w:start w:val="1"/>
      <w:numFmt w:val="bullet"/>
      <w:lvlText w:val=""/>
      <w:lvlJc w:val="left"/>
      <w:pPr>
        <w:ind w:left="2880" w:hanging="360"/>
      </w:pPr>
      <w:rPr>
        <w:rFonts w:ascii="Symbol" w:hAnsi="Symbol" w:hint="default"/>
      </w:rPr>
    </w:lvl>
    <w:lvl w:ilvl="4" w:tplc="86E4431E" w:tentative="1">
      <w:start w:val="1"/>
      <w:numFmt w:val="bullet"/>
      <w:lvlText w:val="o"/>
      <w:lvlJc w:val="left"/>
      <w:pPr>
        <w:ind w:left="3600" w:hanging="360"/>
      </w:pPr>
      <w:rPr>
        <w:rFonts w:ascii="Courier New" w:hAnsi="Courier New" w:cs="Courier New" w:hint="default"/>
      </w:rPr>
    </w:lvl>
    <w:lvl w:ilvl="5" w:tplc="60EE2490" w:tentative="1">
      <w:start w:val="1"/>
      <w:numFmt w:val="bullet"/>
      <w:lvlText w:val=""/>
      <w:lvlJc w:val="left"/>
      <w:pPr>
        <w:ind w:left="4320" w:hanging="360"/>
      </w:pPr>
      <w:rPr>
        <w:rFonts w:ascii="Wingdings" w:hAnsi="Wingdings" w:hint="default"/>
      </w:rPr>
    </w:lvl>
    <w:lvl w:ilvl="6" w:tplc="26C6C2D2" w:tentative="1">
      <w:start w:val="1"/>
      <w:numFmt w:val="bullet"/>
      <w:lvlText w:val=""/>
      <w:lvlJc w:val="left"/>
      <w:pPr>
        <w:ind w:left="5040" w:hanging="360"/>
      </w:pPr>
      <w:rPr>
        <w:rFonts w:ascii="Symbol" w:hAnsi="Symbol" w:hint="default"/>
      </w:rPr>
    </w:lvl>
    <w:lvl w:ilvl="7" w:tplc="A6B2A40C" w:tentative="1">
      <w:start w:val="1"/>
      <w:numFmt w:val="bullet"/>
      <w:lvlText w:val="o"/>
      <w:lvlJc w:val="left"/>
      <w:pPr>
        <w:ind w:left="5760" w:hanging="360"/>
      </w:pPr>
      <w:rPr>
        <w:rFonts w:ascii="Courier New" w:hAnsi="Courier New" w:cs="Courier New" w:hint="default"/>
      </w:rPr>
    </w:lvl>
    <w:lvl w:ilvl="8" w:tplc="F4AE49DC" w:tentative="1">
      <w:start w:val="1"/>
      <w:numFmt w:val="bullet"/>
      <w:lvlText w:val=""/>
      <w:lvlJc w:val="left"/>
      <w:pPr>
        <w:ind w:left="6480" w:hanging="360"/>
      </w:pPr>
      <w:rPr>
        <w:rFonts w:ascii="Wingdings" w:hAnsi="Wingdings" w:hint="default"/>
      </w:rPr>
    </w:lvl>
  </w:abstractNum>
  <w:abstractNum w:abstractNumId="12" w15:restartNumberingAfterBreak="0">
    <w:nsid w:val="60154A3A"/>
    <w:multiLevelType w:val="hybridMultilevel"/>
    <w:tmpl w:val="9B1AA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1B09A9"/>
    <w:multiLevelType w:val="hybridMultilevel"/>
    <w:tmpl w:val="1DB62BE2"/>
    <w:lvl w:ilvl="0" w:tplc="DCC876D0">
      <w:start w:val="1"/>
      <w:numFmt w:val="decimal"/>
      <w:lvlText w:val="%1."/>
      <w:lvlJc w:val="left"/>
      <w:pPr>
        <w:ind w:left="720" w:hanging="360"/>
      </w:pPr>
    </w:lvl>
    <w:lvl w:ilvl="1" w:tplc="97E24D3C" w:tentative="1">
      <w:start w:val="1"/>
      <w:numFmt w:val="lowerLetter"/>
      <w:lvlText w:val="%2."/>
      <w:lvlJc w:val="left"/>
      <w:pPr>
        <w:ind w:left="1440" w:hanging="360"/>
      </w:pPr>
    </w:lvl>
    <w:lvl w:ilvl="2" w:tplc="7E18D49E" w:tentative="1">
      <w:start w:val="1"/>
      <w:numFmt w:val="lowerRoman"/>
      <w:lvlText w:val="%3."/>
      <w:lvlJc w:val="right"/>
      <w:pPr>
        <w:ind w:left="2160" w:hanging="180"/>
      </w:pPr>
    </w:lvl>
    <w:lvl w:ilvl="3" w:tplc="405C8D16" w:tentative="1">
      <w:start w:val="1"/>
      <w:numFmt w:val="decimal"/>
      <w:lvlText w:val="%4."/>
      <w:lvlJc w:val="left"/>
      <w:pPr>
        <w:ind w:left="2880" w:hanging="360"/>
      </w:pPr>
    </w:lvl>
    <w:lvl w:ilvl="4" w:tplc="2648261A" w:tentative="1">
      <w:start w:val="1"/>
      <w:numFmt w:val="lowerLetter"/>
      <w:lvlText w:val="%5."/>
      <w:lvlJc w:val="left"/>
      <w:pPr>
        <w:ind w:left="3600" w:hanging="360"/>
      </w:pPr>
    </w:lvl>
    <w:lvl w:ilvl="5" w:tplc="21A05DF0" w:tentative="1">
      <w:start w:val="1"/>
      <w:numFmt w:val="lowerRoman"/>
      <w:lvlText w:val="%6."/>
      <w:lvlJc w:val="right"/>
      <w:pPr>
        <w:ind w:left="4320" w:hanging="180"/>
      </w:pPr>
    </w:lvl>
    <w:lvl w:ilvl="6" w:tplc="3566F8B8" w:tentative="1">
      <w:start w:val="1"/>
      <w:numFmt w:val="decimal"/>
      <w:lvlText w:val="%7."/>
      <w:lvlJc w:val="left"/>
      <w:pPr>
        <w:ind w:left="5040" w:hanging="360"/>
      </w:pPr>
    </w:lvl>
    <w:lvl w:ilvl="7" w:tplc="2DAECCEE" w:tentative="1">
      <w:start w:val="1"/>
      <w:numFmt w:val="lowerLetter"/>
      <w:lvlText w:val="%8."/>
      <w:lvlJc w:val="left"/>
      <w:pPr>
        <w:ind w:left="5760" w:hanging="360"/>
      </w:pPr>
    </w:lvl>
    <w:lvl w:ilvl="8" w:tplc="43C8E24A" w:tentative="1">
      <w:start w:val="1"/>
      <w:numFmt w:val="lowerRoman"/>
      <w:lvlText w:val="%9."/>
      <w:lvlJc w:val="right"/>
      <w:pPr>
        <w:ind w:left="6480" w:hanging="180"/>
      </w:pPr>
    </w:lvl>
  </w:abstractNum>
  <w:abstractNum w:abstractNumId="14" w15:restartNumberingAfterBreak="0">
    <w:nsid w:val="65792FF3"/>
    <w:multiLevelType w:val="hybridMultilevel"/>
    <w:tmpl w:val="4DA05DB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A370FD2"/>
    <w:multiLevelType w:val="hybridMultilevel"/>
    <w:tmpl w:val="A9FA8618"/>
    <w:lvl w:ilvl="0" w:tplc="DCC876D0">
      <w:start w:val="1"/>
      <w:numFmt w:val="decimal"/>
      <w:lvlText w:val="%1."/>
      <w:lvlJc w:val="left"/>
      <w:pPr>
        <w:ind w:left="720" w:hanging="360"/>
      </w:pPr>
    </w:lvl>
    <w:lvl w:ilvl="1" w:tplc="97E24D3C" w:tentative="1">
      <w:start w:val="1"/>
      <w:numFmt w:val="lowerLetter"/>
      <w:lvlText w:val="%2."/>
      <w:lvlJc w:val="left"/>
      <w:pPr>
        <w:ind w:left="1440" w:hanging="360"/>
      </w:pPr>
    </w:lvl>
    <w:lvl w:ilvl="2" w:tplc="7E18D49E" w:tentative="1">
      <w:start w:val="1"/>
      <w:numFmt w:val="lowerRoman"/>
      <w:lvlText w:val="%3."/>
      <w:lvlJc w:val="right"/>
      <w:pPr>
        <w:ind w:left="2160" w:hanging="180"/>
      </w:pPr>
    </w:lvl>
    <w:lvl w:ilvl="3" w:tplc="405C8D16" w:tentative="1">
      <w:start w:val="1"/>
      <w:numFmt w:val="decimal"/>
      <w:lvlText w:val="%4."/>
      <w:lvlJc w:val="left"/>
      <w:pPr>
        <w:ind w:left="2880" w:hanging="360"/>
      </w:pPr>
    </w:lvl>
    <w:lvl w:ilvl="4" w:tplc="2648261A" w:tentative="1">
      <w:start w:val="1"/>
      <w:numFmt w:val="lowerLetter"/>
      <w:lvlText w:val="%5."/>
      <w:lvlJc w:val="left"/>
      <w:pPr>
        <w:ind w:left="3600" w:hanging="360"/>
      </w:pPr>
    </w:lvl>
    <w:lvl w:ilvl="5" w:tplc="21A05DF0" w:tentative="1">
      <w:start w:val="1"/>
      <w:numFmt w:val="lowerRoman"/>
      <w:lvlText w:val="%6."/>
      <w:lvlJc w:val="right"/>
      <w:pPr>
        <w:ind w:left="4320" w:hanging="180"/>
      </w:pPr>
    </w:lvl>
    <w:lvl w:ilvl="6" w:tplc="3566F8B8" w:tentative="1">
      <w:start w:val="1"/>
      <w:numFmt w:val="decimal"/>
      <w:lvlText w:val="%7."/>
      <w:lvlJc w:val="left"/>
      <w:pPr>
        <w:ind w:left="5040" w:hanging="360"/>
      </w:pPr>
    </w:lvl>
    <w:lvl w:ilvl="7" w:tplc="2DAECCEE" w:tentative="1">
      <w:start w:val="1"/>
      <w:numFmt w:val="lowerLetter"/>
      <w:lvlText w:val="%8."/>
      <w:lvlJc w:val="left"/>
      <w:pPr>
        <w:ind w:left="5760" w:hanging="360"/>
      </w:pPr>
    </w:lvl>
    <w:lvl w:ilvl="8" w:tplc="43C8E24A" w:tentative="1">
      <w:start w:val="1"/>
      <w:numFmt w:val="lowerRoman"/>
      <w:lvlText w:val="%9."/>
      <w:lvlJc w:val="right"/>
      <w:pPr>
        <w:ind w:left="6480" w:hanging="180"/>
      </w:pPr>
    </w:lvl>
  </w:abstractNum>
  <w:abstractNum w:abstractNumId="16" w15:restartNumberingAfterBreak="0">
    <w:nsid w:val="6D872722"/>
    <w:multiLevelType w:val="hybridMultilevel"/>
    <w:tmpl w:val="1B807EBC"/>
    <w:lvl w:ilvl="0" w:tplc="58FE77BC">
      <w:start w:val="1"/>
      <w:numFmt w:val="decimal"/>
      <w:lvlText w:val="%1."/>
      <w:lvlJc w:val="left"/>
      <w:pPr>
        <w:ind w:left="720" w:hanging="360"/>
      </w:pPr>
    </w:lvl>
    <w:lvl w:ilvl="1" w:tplc="E1065C62">
      <w:start w:val="1"/>
      <w:numFmt w:val="lowerLetter"/>
      <w:lvlText w:val="%2."/>
      <w:lvlJc w:val="left"/>
      <w:pPr>
        <w:ind w:left="1440" w:hanging="360"/>
      </w:pPr>
    </w:lvl>
    <w:lvl w:ilvl="2" w:tplc="7416CF54">
      <w:start w:val="1"/>
      <w:numFmt w:val="lowerRoman"/>
      <w:lvlText w:val="%3."/>
      <w:lvlJc w:val="right"/>
      <w:pPr>
        <w:ind w:left="2160" w:hanging="180"/>
      </w:pPr>
    </w:lvl>
    <w:lvl w:ilvl="3" w:tplc="5274B468">
      <w:start w:val="1"/>
      <w:numFmt w:val="decimal"/>
      <w:lvlText w:val="%4."/>
      <w:lvlJc w:val="left"/>
      <w:pPr>
        <w:ind w:left="2880" w:hanging="360"/>
      </w:pPr>
    </w:lvl>
    <w:lvl w:ilvl="4" w:tplc="928C85CC">
      <w:start w:val="1"/>
      <w:numFmt w:val="lowerLetter"/>
      <w:lvlText w:val="%5."/>
      <w:lvlJc w:val="left"/>
      <w:pPr>
        <w:ind w:left="3600" w:hanging="360"/>
      </w:pPr>
    </w:lvl>
    <w:lvl w:ilvl="5" w:tplc="7F960398">
      <w:start w:val="1"/>
      <w:numFmt w:val="lowerRoman"/>
      <w:lvlText w:val="%6."/>
      <w:lvlJc w:val="right"/>
      <w:pPr>
        <w:ind w:left="4320" w:hanging="180"/>
      </w:pPr>
    </w:lvl>
    <w:lvl w:ilvl="6" w:tplc="54CA4DEA">
      <w:start w:val="1"/>
      <w:numFmt w:val="decimal"/>
      <w:lvlText w:val="%7."/>
      <w:lvlJc w:val="left"/>
      <w:pPr>
        <w:ind w:left="5040" w:hanging="360"/>
      </w:pPr>
    </w:lvl>
    <w:lvl w:ilvl="7" w:tplc="617E92FE">
      <w:start w:val="1"/>
      <w:numFmt w:val="lowerLetter"/>
      <w:lvlText w:val="%8."/>
      <w:lvlJc w:val="left"/>
      <w:pPr>
        <w:ind w:left="5760" w:hanging="360"/>
      </w:pPr>
    </w:lvl>
    <w:lvl w:ilvl="8" w:tplc="966048CA">
      <w:start w:val="1"/>
      <w:numFmt w:val="lowerRoman"/>
      <w:lvlText w:val="%9."/>
      <w:lvlJc w:val="right"/>
      <w:pPr>
        <w:ind w:left="6480" w:hanging="180"/>
      </w:pPr>
    </w:lvl>
  </w:abstractNum>
  <w:abstractNum w:abstractNumId="17" w15:restartNumberingAfterBreak="0">
    <w:nsid w:val="6E8C3DEF"/>
    <w:multiLevelType w:val="hybridMultilevel"/>
    <w:tmpl w:val="F4F63E30"/>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4110830"/>
    <w:multiLevelType w:val="hybridMultilevel"/>
    <w:tmpl w:val="83B05D50"/>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9" w15:restartNumberingAfterBreak="0">
    <w:nsid w:val="75574962"/>
    <w:multiLevelType w:val="hybridMultilevel"/>
    <w:tmpl w:val="CD9C7362"/>
    <w:lvl w:ilvl="0" w:tplc="7D00EF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6B66797"/>
    <w:multiLevelType w:val="hybridMultilevel"/>
    <w:tmpl w:val="DBFE1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86E6987"/>
    <w:multiLevelType w:val="hybridMultilevel"/>
    <w:tmpl w:val="4A2E44DC"/>
    <w:lvl w:ilvl="0" w:tplc="FA4CBD40">
      <w:start w:val="1"/>
      <w:numFmt w:val="bullet"/>
      <w:lvlText w:val=""/>
      <w:lvlJc w:val="left"/>
      <w:pPr>
        <w:ind w:left="720" w:hanging="360"/>
      </w:pPr>
      <w:rPr>
        <w:rFonts w:ascii="Symbol" w:hAnsi="Symbol" w:hint="default"/>
      </w:rPr>
    </w:lvl>
    <w:lvl w:ilvl="1" w:tplc="DEC48254">
      <w:start w:val="1"/>
      <w:numFmt w:val="bullet"/>
      <w:lvlText w:val="o"/>
      <w:lvlJc w:val="left"/>
      <w:pPr>
        <w:ind w:left="1440" w:hanging="360"/>
      </w:pPr>
      <w:rPr>
        <w:rFonts w:ascii="Courier New" w:hAnsi="Courier New" w:hint="default"/>
      </w:rPr>
    </w:lvl>
    <w:lvl w:ilvl="2" w:tplc="5A0E67D4">
      <w:start w:val="1"/>
      <w:numFmt w:val="bullet"/>
      <w:lvlText w:val=""/>
      <w:lvlJc w:val="left"/>
      <w:pPr>
        <w:ind w:left="2160" w:hanging="360"/>
      </w:pPr>
      <w:rPr>
        <w:rFonts w:ascii="Wingdings" w:hAnsi="Wingdings" w:hint="default"/>
      </w:rPr>
    </w:lvl>
    <w:lvl w:ilvl="3" w:tplc="C02ABB00">
      <w:start w:val="1"/>
      <w:numFmt w:val="bullet"/>
      <w:lvlText w:val=""/>
      <w:lvlJc w:val="left"/>
      <w:pPr>
        <w:ind w:left="2880" w:hanging="360"/>
      </w:pPr>
      <w:rPr>
        <w:rFonts w:ascii="Symbol" w:hAnsi="Symbol" w:hint="default"/>
      </w:rPr>
    </w:lvl>
    <w:lvl w:ilvl="4" w:tplc="892AB8A4">
      <w:start w:val="1"/>
      <w:numFmt w:val="bullet"/>
      <w:lvlText w:val="o"/>
      <w:lvlJc w:val="left"/>
      <w:pPr>
        <w:ind w:left="3600" w:hanging="360"/>
      </w:pPr>
      <w:rPr>
        <w:rFonts w:ascii="Courier New" w:hAnsi="Courier New" w:hint="default"/>
      </w:rPr>
    </w:lvl>
    <w:lvl w:ilvl="5" w:tplc="144ACE5C">
      <w:start w:val="1"/>
      <w:numFmt w:val="bullet"/>
      <w:lvlText w:val=""/>
      <w:lvlJc w:val="left"/>
      <w:pPr>
        <w:ind w:left="4320" w:hanging="360"/>
      </w:pPr>
      <w:rPr>
        <w:rFonts w:ascii="Wingdings" w:hAnsi="Wingdings" w:hint="default"/>
      </w:rPr>
    </w:lvl>
    <w:lvl w:ilvl="6" w:tplc="52A280D0">
      <w:start w:val="1"/>
      <w:numFmt w:val="bullet"/>
      <w:lvlText w:val=""/>
      <w:lvlJc w:val="left"/>
      <w:pPr>
        <w:ind w:left="5040" w:hanging="360"/>
      </w:pPr>
      <w:rPr>
        <w:rFonts w:ascii="Symbol" w:hAnsi="Symbol" w:hint="default"/>
      </w:rPr>
    </w:lvl>
    <w:lvl w:ilvl="7" w:tplc="191238B8">
      <w:start w:val="1"/>
      <w:numFmt w:val="bullet"/>
      <w:lvlText w:val="o"/>
      <w:lvlJc w:val="left"/>
      <w:pPr>
        <w:ind w:left="5760" w:hanging="360"/>
      </w:pPr>
      <w:rPr>
        <w:rFonts w:ascii="Courier New" w:hAnsi="Courier New" w:hint="default"/>
      </w:rPr>
    </w:lvl>
    <w:lvl w:ilvl="8" w:tplc="5C664534">
      <w:start w:val="1"/>
      <w:numFmt w:val="bullet"/>
      <w:lvlText w:val=""/>
      <w:lvlJc w:val="left"/>
      <w:pPr>
        <w:ind w:left="6480" w:hanging="360"/>
      </w:pPr>
      <w:rPr>
        <w:rFonts w:ascii="Wingdings" w:hAnsi="Wingdings" w:hint="default"/>
      </w:rPr>
    </w:lvl>
  </w:abstractNum>
  <w:abstractNum w:abstractNumId="22" w15:restartNumberingAfterBreak="0">
    <w:nsid w:val="7B4A06FF"/>
    <w:multiLevelType w:val="hybridMultilevel"/>
    <w:tmpl w:val="E92CEB9C"/>
    <w:lvl w:ilvl="0" w:tplc="7E5AABB4">
      <w:start w:val="1"/>
      <w:numFmt w:val="bullet"/>
      <w:lvlText w:val=""/>
      <w:lvlJc w:val="left"/>
      <w:pPr>
        <w:ind w:left="720" w:hanging="360"/>
      </w:pPr>
      <w:rPr>
        <w:rFonts w:ascii="Symbol" w:hAnsi="Symbol" w:hint="default"/>
      </w:rPr>
    </w:lvl>
    <w:lvl w:ilvl="1" w:tplc="BE72CEDA">
      <w:start w:val="1"/>
      <w:numFmt w:val="bullet"/>
      <w:lvlText w:val="o"/>
      <w:lvlJc w:val="left"/>
      <w:pPr>
        <w:ind w:left="1440" w:hanging="360"/>
      </w:pPr>
      <w:rPr>
        <w:rFonts w:ascii="Courier New" w:hAnsi="Courier New" w:cs="Courier New" w:hint="default"/>
      </w:rPr>
    </w:lvl>
    <w:lvl w:ilvl="2" w:tplc="2CB4617C" w:tentative="1">
      <w:start w:val="1"/>
      <w:numFmt w:val="bullet"/>
      <w:lvlText w:val=""/>
      <w:lvlJc w:val="left"/>
      <w:pPr>
        <w:ind w:left="2160" w:hanging="360"/>
      </w:pPr>
      <w:rPr>
        <w:rFonts w:ascii="Wingdings" w:hAnsi="Wingdings" w:hint="default"/>
      </w:rPr>
    </w:lvl>
    <w:lvl w:ilvl="3" w:tplc="5FA6DFA8" w:tentative="1">
      <w:start w:val="1"/>
      <w:numFmt w:val="bullet"/>
      <w:lvlText w:val=""/>
      <w:lvlJc w:val="left"/>
      <w:pPr>
        <w:ind w:left="2880" w:hanging="360"/>
      </w:pPr>
      <w:rPr>
        <w:rFonts w:ascii="Symbol" w:hAnsi="Symbol" w:hint="default"/>
      </w:rPr>
    </w:lvl>
    <w:lvl w:ilvl="4" w:tplc="E38E42AA" w:tentative="1">
      <w:start w:val="1"/>
      <w:numFmt w:val="bullet"/>
      <w:lvlText w:val="o"/>
      <w:lvlJc w:val="left"/>
      <w:pPr>
        <w:ind w:left="3600" w:hanging="360"/>
      </w:pPr>
      <w:rPr>
        <w:rFonts w:ascii="Courier New" w:hAnsi="Courier New" w:cs="Courier New" w:hint="default"/>
      </w:rPr>
    </w:lvl>
    <w:lvl w:ilvl="5" w:tplc="083C3548" w:tentative="1">
      <w:start w:val="1"/>
      <w:numFmt w:val="bullet"/>
      <w:lvlText w:val=""/>
      <w:lvlJc w:val="left"/>
      <w:pPr>
        <w:ind w:left="4320" w:hanging="360"/>
      </w:pPr>
      <w:rPr>
        <w:rFonts w:ascii="Wingdings" w:hAnsi="Wingdings" w:hint="default"/>
      </w:rPr>
    </w:lvl>
    <w:lvl w:ilvl="6" w:tplc="6906947A" w:tentative="1">
      <w:start w:val="1"/>
      <w:numFmt w:val="bullet"/>
      <w:lvlText w:val=""/>
      <w:lvlJc w:val="left"/>
      <w:pPr>
        <w:ind w:left="5040" w:hanging="360"/>
      </w:pPr>
      <w:rPr>
        <w:rFonts w:ascii="Symbol" w:hAnsi="Symbol" w:hint="default"/>
      </w:rPr>
    </w:lvl>
    <w:lvl w:ilvl="7" w:tplc="763687AC" w:tentative="1">
      <w:start w:val="1"/>
      <w:numFmt w:val="bullet"/>
      <w:lvlText w:val="o"/>
      <w:lvlJc w:val="left"/>
      <w:pPr>
        <w:ind w:left="5760" w:hanging="360"/>
      </w:pPr>
      <w:rPr>
        <w:rFonts w:ascii="Courier New" w:hAnsi="Courier New" w:cs="Courier New" w:hint="default"/>
      </w:rPr>
    </w:lvl>
    <w:lvl w:ilvl="8" w:tplc="4E44F132" w:tentative="1">
      <w:start w:val="1"/>
      <w:numFmt w:val="bullet"/>
      <w:lvlText w:val=""/>
      <w:lvlJc w:val="left"/>
      <w:pPr>
        <w:ind w:left="6480" w:hanging="360"/>
      </w:pPr>
      <w:rPr>
        <w:rFonts w:ascii="Wingdings" w:hAnsi="Wingdings" w:hint="default"/>
      </w:rPr>
    </w:lvl>
  </w:abstractNum>
  <w:abstractNum w:abstractNumId="23" w15:restartNumberingAfterBreak="0">
    <w:nsid w:val="7FBD4463"/>
    <w:multiLevelType w:val="hybridMultilevel"/>
    <w:tmpl w:val="9BF6B52A"/>
    <w:lvl w:ilvl="0" w:tplc="A1748392">
      <w:start w:val="1"/>
      <w:numFmt w:val="decimal"/>
      <w:lvlText w:val="%1."/>
      <w:lvlJc w:val="left"/>
      <w:pPr>
        <w:ind w:left="720" w:hanging="360"/>
      </w:pPr>
    </w:lvl>
    <w:lvl w:ilvl="1" w:tplc="FFE81B64">
      <w:start w:val="1"/>
      <w:numFmt w:val="lowerLetter"/>
      <w:lvlText w:val="%2."/>
      <w:lvlJc w:val="left"/>
      <w:pPr>
        <w:ind w:left="1440" w:hanging="360"/>
      </w:pPr>
    </w:lvl>
    <w:lvl w:ilvl="2" w:tplc="4F0255A6">
      <w:start w:val="1"/>
      <w:numFmt w:val="lowerRoman"/>
      <w:lvlText w:val="%3."/>
      <w:lvlJc w:val="right"/>
      <w:pPr>
        <w:ind w:left="2160" w:hanging="180"/>
      </w:pPr>
    </w:lvl>
    <w:lvl w:ilvl="3" w:tplc="31FAC222">
      <w:start w:val="1"/>
      <w:numFmt w:val="decimal"/>
      <w:lvlText w:val="%4."/>
      <w:lvlJc w:val="left"/>
      <w:pPr>
        <w:ind w:left="2880" w:hanging="360"/>
      </w:pPr>
    </w:lvl>
    <w:lvl w:ilvl="4" w:tplc="1172C302">
      <w:start w:val="1"/>
      <w:numFmt w:val="lowerLetter"/>
      <w:lvlText w:val="%5."/>
      <w:lvlJc w:val="left"/>
      <w:pPr>
        <w:ind w:left="3600" w:hanging="360"/>
      </w:pPr>
    </w:lvl>
    <w:lvl w:ilvl="5" w:tplc="CA0CA584">
      <w:start w:val="1"/>
      <w:numFmt w:val="lowerRoman"/>
      <w:lvlText w:val="%6."/>
      <w:lvlJc w:val="right"/>
      <w:pPr>
        <w:ind w:left="4320" w:hanging="180"/>
      </w:pPr>
    </w:lvl>
    <w:lvl w:ilvl="6" w:tplc="4B50C2AA">
      <w:start w:val="1"/>
      <w:numFmt w:val="decimal"/>
      <w:lvlText w:val="%7."/>
      <w:lvlJc w:val="left"/>
      <w:pPr>
        <w:ind w:left="5040" w:hanging="360"/>
      </w:pPr>
    </w:lvl>
    <w:lvl w:ilvl="7" w:tplc="9EB62B5C">
      <w:start w:val="1"/>
      <w:numFmt w:val="lowerLetter"/>
      <w:lvlText w:val="%8."/>
      <w:lvlJc w:val="left"/>
      <w:pPr>
        <w:ind w:left="5760" w:hanging="360"/>
      </w:pPr>
    </w:lvl>
    <w:lvl w:ilvl="8" w:tplc="EBA83404">
      <w:start w:val="1"/>
      <w:numFmt w:val="lowerRoman"/>
      <w:lvlText w:val="%9."/>
      <w:lvlJc w:val="right"/>
      <w:pPr>
        <w:ind w:left="6480" w:hanging="180"/>
      </w:pPr>
    </w:lvl>
  </w:abstractNum>
  <w:num w:numId="1">
    <w:abstractNumId w:val="16"/>
  </w:num>
  <w:num w:numId="2">
    <w:abstractNumId w:val="23"/>
  </w:num>
  <w:num w:numId="3">
    <w:abstractNumId w:val="21"/>
  </w:num>
  <w:num w:numId="4">
    <w:abstractNumId w:val="3"/>
  </w:num>
  <w:num w:numId="5">
    <w:abstractNumId w:val="10"/>
  </w:num>
  <w:num w:numId="6">
    <w:abstractNumId w:val="2"/>
  </w:num>
  <w:num w:numId="7">
    <w:abstractNumId w:val="1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8"/>
  </w:num>
  <w:num w:numId="13">
    <w:abstractNumId w:val="11"/>
  </w:num>
  <w:num w:numId="14">
    <w:abstractNumId w:val="13"/>
  </w:num>
  <w:num w:numId="15">
    <w:abstractNumId w:val="14"/>
  </w:num>
  <w:num w:numId="16">
    <w:abstractNumId w:val="0"/>
  </w:num>
  <w:num w:numId="17">
    <w:abstractNumId w:val="9"/>
  </w:num>
  <w:num w:numId="18">
    <w:abstractNumId w:val="15"/>
  </w:num>
  <w:num w:numId="19">
    <w:abstractNumId w:val="5"/>
  </w:num>
  <w:num w:numId="20">
    <w:abstractNumId w:val="7"/>
  </w:num>
  <w:num w:numId="21">
    <w:abstractNumId w:val="20"/>
  </w:num>
  <w:num w:numId="2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230E36"/>
    <w:rsid w:val="00007255"/>
    <w:rsid w:val="00015FAD"/>
    <w:rsid w:val="000207E0"/>
    <w:rsid w:val="000313D1"/>
    <w:rsid w:val="0009329E"/>
    <w:rsid w:val="000C5EB4"/>
    <w:rsid w:val="000CBE14"/>
    <w:rsid w:val="000D47B0"/>
    <w:rsid w:val="000E7BB1"/>
    <w:rsid w:val="00112412"/>
    <w:rsid w:val="0012F37E"/>
    <w:rsid w:val="00140770"/>
    <w:rsid w:val="001641A0"/>
    <w:rsid w:val="001836DF"/>
    <w:rsid w:val="00197AA5"/>
    <w:rsid w:val="001D1686"/>
    <w:rsid w:val="001D269F"/>
    <w:rsid w:val="001D77EB"/>
    <w:rsid w:val="001E3652"/>
    <w:rsid w:val="00262789"/>
    <w:rsid w:val="00281E42"/>
    <w:rsid w:val="002C3341"/>
    <w:rsid w:val="002D161F"/>
    <w:rsid w:val="002D5EFB"/>
    <w:rsid w:val="00301AFF"/>
    <w:rsid w:val="00313958"/>
    <w:rsid w:val="003157CE"/>
    <w:rsid w:val="003B611A"/>
    <w:rsid w:val="003D78FA"/>
    <w:rsid w:val="003F5580"/>
    <w:rsid w:val="00400090"/>
    <w:rsid w:val="00416E4F"/>
    <w:rsid w:val="00444A27"/>
    <w:rsid w:val="00452CF9"/>
    <w:rsid w:val="00455C50"/>
    <w:rsid w:val="004645F4"/>
    <w:rsid w:val="00475A79"/>
    <w:rsid w:val="004B673D"/>
    <w:rsid w:val="004C75DF"/>
    <w:rsid w:val="004E65A4"/>
    <w:rsid w:val="004E67C9"/>
    <w:rsid w:val="004E7AF7"/>
    <w:rsid w:val="005142C4"/>
    <w:rsid w:val="005362C6"/>
    <w:rsid w:val="005462F8"/>
    <w:rsid w:val="00584A8E"/>
    <w:rsid w:val="00587C2F"/>
    <w:rsid w:val="005A61BD"/>
    <w:rsid w:val="005D136E"/>
    <w:rsid w:val="005E3CEE"/>
    <w:rsid w:val="005F0B76"/>
    <w:rsid w:val="005F3BEA"/>
    <w:rsid w:val="006152D9"/>
    <w:rsid w:val="00641837"/>
    <w:rsid w:val="006431E5"/>
    <w:rsid w:val="00651B6C"/>
    <w:rsid w:val="00666FE3"/>
    <w:rsid w:val="006673A8"/>
    <w:rsid w:val="0067756D"/>
    <w:rsid w:val="00695D8C"/>
    <w:rsid w:val="006D6C1E"/>
    <w:rsid w:val="0073306E"/>
    <w:rsid w:val="00742ABD"/>
    <w:rsid w:val="00750342"/>
    <w:rsid w:val="00775FE0"/>
    <w:rsid w:val="007A5EAD"/>
    <w:rsid w:val="007F1A72"/>
    <w:rsid w:val="00803408"/>
    <w:rsid w:val="00806968"/>
    <w:rsid w:val="00813C76"/>
    <w:rsid w:val="008244B6"/>
    <w:rsid w:val="00825A6E"/>
    <w:rsid w:val="008701C5"/>
    <w:rsid w:val="00884DF7"/>
    <w:rsid w:val="00894580"/>
    <w:rsid w:val="008B1DA7"/>
    <w:rsid w:val="008B5E4C"/>
    <w:rsid w:val="00921A59"/>
    <w:rsid w:val="00926B3F"/>
    <w:rsid w:val="0095132B"/>
    <w:rsid w:val="00957F53"/>
    <w:rsid w:val="009A4C15"/>
    <w:rsid w:val="00A02368"/>
    <w:rsid w:val="00A21464"/>
    <w:rsid w:val="00A32B77"/>
    <w:rsid w:val="00A35E2A"/>
    <w:rsid w:val="00A522ED"/>
    <w:rsid w:val="00A65F57"/>
    <w:rsid w:val="00A70A62"/>
    <w:rsid w:val="00A76D5F"/>
    <w:rsid w:val="00AA5516"/>
    <w:rsid w:val="00AF56EA"/>
    <w:rsid w:val="00B00BB9"/>
    <w:rsid w:val="00B047A2"/>
    <w:rsid w:val="00B403D6"/>
    <w:rsid w:val="00B877A2"/>
    <w:rsid w:val="00B9272A"/>
    <w:rsid w:val="00B94D5F"/>
    <w:rsid w:val="00BA16FF"/>
    <w:rsid w:val="00BA3D38"/>
    <w:rsid w:val="00BB01A4"/>
    <w:rsid w:val="00BD2055"/>
    <w:rsid w:val="00BD3089"/>
    <w:rsid w:val="00BD66DA"/>
    <w:rsid w:val="00BE5B1C"/>
    <w:rsid w:val="00C019BD"/>
    <w:rsid w:val="00C251A5"/>
    <w:rsid w:val="00C60D63"/>
    <w:rsid w:val="00C90E60"/>
    <w:rsid w:val="00CA4A6D"/>
    <w:rsid w:val="00CB3D14"/>
    <w:rsid w:val="00CD6358"/>
    <w:rsid w:val="00D044D7"/>
    <w:rsid w:val="00D114F4"/>
    <w:rsid w:val="00D73293"/>
    <w:rsid w:val="00DC2905"/>
    <w:rsid w:val="00DE7F9C"/>
    <w:rsid w:val="00DF0609"/>
    <w:rsid w:val="00E124DC"/>
    <w:rsid w:val="00E253E7"/>
    <w:rsid w:val="00E34679"/>
    <w:rsid w:val="00E54037"/>
    <w:rsid w:val="00EA33E7"/>
    <w:rsid w:val="00EC7BDD"/>
    <w:rsid w:val="00EF06BA"/>
    <w:rsid w:val="00F06CA8"/>
    <w:rsid w:val="00F135CA"/>
    <w:rsid w:val="00F310E7"/>
    <w:rsid w:val="00F33755"/>
    <w:rsid w:val="00F36BF5"/>
    <w:rsid w:val="00F3778C"/>
    <w:rsid w:val="00F42072"/>
    <w:rsid w:val="00F47BD8"/>
    <w:rsid w:val="00FB698F"/>
    <w:rsid w:val="00FD1D6B"/>
    <w:rsid w:val="00FD295D"/>
    <w:rsid w:val="01571260"/>
    <w:rsid w:val="01719C49"/>
    <w:rsid w:val="0178BC62"/>
    <w:rsid w:val="018D6E6B"/>
    <w:rsid w:val="020279CD"/>
    <w:rsid w:val="0267E281"/>
    <w:rsid w:val="029FD829"/>
    <w:rsid w:val="02A6CAC0"/>
    <w:rsid w:val="02B79C67"/>
    <w:rsid w:val="02BDDB5A"/>
    <w:rsid w:val="02C2F3B1"/>
    <w:rsid w:val="033317D5"/>
    <w:rsid w:val="033CE4C6"/>
    <w:rsid w:val="03683C42"/>
    <w:rsid w:val="03B7795C"/>
    <w:rsid w:val="03BAD91A"/>
    <w:rsid w:val="03D94B68"/>
    <w:rsid w:val="0424092C"/>
    <w:rsid w:val="04585CF1"/>
    <w:rsid w:val="047265AF"/>
    <w:rsid w:val="04790329"/>
    <w:rsid w:val="04866EB7"/>
    <w:rsid w:val="04A518F8"/>
    <w:rsid w:val="04E0A790"/>
    <w:rsid w:val="05A1BB7B"/>
    <w:rsid w:val="05ADFCA6"/>
    <w:rsid w:val="05B62FCF"/>
    <w:rsid w:val="05C67F82"/>
    <w:rsid w:val="061A3A33"/>
    <w:rsid w:val="061B40EA"/>
    <w:rsid w:val="062C0C82"/>
    <w:rsid w:val="06774C85"/>
    <w:rsid w:val="0682F05D"/>
    <w:rsid w:val="0690C130"/>
    <w:rsid w:val="070339A8"/>
    <w:rsid w:val="072F3E0E"/>
    <w:rsid w:val="073C1BA7"/>
    <w:rsid w:val="077351CD"/>
    <w:rsid w:val="077D49FC"/>
    <w:rsid w:val="07C95176"/>
    <w:rsid w:val="07E7FDE6"/>
    <w:rsid w:val="07FB4726"/>
    <w:rsid w:val="0866635E"/>
    <w:rsid w:val="08685DCD"/>
    <w:rsid w:val="0879389D"/>
    <w:rsid w:val="08DA56DE"/>
    <w:rsid w:val="095C6B03"/>
    <w:rsid w:val="098A8567"/>
    <w:rsid w:val="09992879"/>
    <w:rsid w:val="0A10BD78"/>
    <w:rsid w:val="0A2062ED"/>
    <w:rsid w:val="0A50B9DB"/>
    <w:rsid w:val="0A5B3E96"/>
    <w:rsid w:val="0A61700C"/>
    <w:rsid w:val="0ADC13A4"/>
    <w:rsid w:val="0B07FF4A"/>
    <w:rsid w:val="0B68F358"/>
    <w:rsid w:val="0B705645"/>
    <w:rsid w:val="0B76D4BB"/>
    <w:rsid w:val="0BA7FA52"/>
    <w:rsid w:val="0C435CBA"/>
    <w:rsid w:val="0CACA7C7"/>
    <w:rsid w:val="0CBBC127"/>
    <w:rsid w:val="0D522F92"/>
    <w:rsid w:val="0DB22F7B"/>
    <w:rsid w:val="0DC2D6AE"/>
    <w:rsid w:val="0E1A66B5"/>
    <w:rsid w:val="0E50E0CA"/>
    <w:rsid w:val="0E736C99"/>
    <w:rsid w:val="0E7668CF"/>
    <w:rsid w:val="0E91AE85"/>
    <w:rsid w:val="0EF2681F"/>
    <w:rsid w:val="0F077C7E"/>
    <w:rsid w:val="0F41DDAD"/>
    <w:rsid w:val="0F5F6162"/>
    <w:rsid w:val="0FD57C20"/>
    <w:rsid w:val="0FDFE802"/>
    <w:rsid w:val="0FE8EEFC"/>
    <w:rsid w:val="0FE9B6E7"/>
    <w:rsid w:val="0FED30AE"/>
    <w:rsid w:val="103597C7"/>
    <w:rsid w:val="104B04AC"/>
    <w:rsid w:val="1060A0B3"/>
    <w:rsid w:val="10B653FF"/>
    <w:rsid w:val="10C64C96"/>
    <w:rsid w:val="10D86ED4"/>
    <w:rsid w:val="10DEB8EC"/>
    <w:rsid w:val="1111438D"/>
    <w:rsid w:val="11858748"/>
    <w:rsid w:val="11EB44E6"/>
    <w:rsid w:val="1206F286"/>
    <w:rsid w:val="1234BA51"/>
    <w:rsid w:val="1288CC50"/>
    <w:rsid w:val="12E88EE3"/>
    <w:rsid w:val="12EBFD62"/>
    <w:rsid w:val="131603A1"/>
    <w:rsid w:val="132ECAA5"/>
    <w:rsid w:val="1347B636"/>
    <w:rsid w:val="134DA036"/>
    <w:rsid w:val="1354102C"/>
    <w:rsid w:val="13856C6B"/>
    <w:rsid w:val="13B39917"/>
    <w:rsid w:val="13E2CC40"/>
    <w:rsid w:val="14040B20"/>
    <w:rsid w:val="140D3A0C"/>
    <w:rsid w:val="143AC210"/>
    <w:rsid w:val="145527E4"/>
    <w:rsid w:val="146E2677"/>
    <w:rsid w:val="148EE9B9"/>
    <w:rsid w:val="14A0252A"/>
    <w:rsid w:val="14AC75A9"/>
    <w:rsid w:val="14B719C1"/>
    <w:rsid w:val="14C6C269"/>
    <w:rsid w:val="14EFE08D"/>
    <w:rsid w:val="15019739"/>
    <w:rsid w:val="153E9348"/>
    <w:rsid w:val="15402128"/>
    <w:rsid w:val="15667BF6"/>
    <w:rsid w:val="15741F87"/>
    <w:rsid w:val="159D46B3"/>
    <w:rsid w:val="15EC5F0B"/>
    <w:rsid w:val="15F819A8"/>
    <w:rsid w:val="16796F60"/>
    <w:rsid w:val="16821DF5"/>
    <w:rsid w:val="16A9887D"/>
    <w:rsid w:val="16B62EDB"/>
    <w:rsid w:val="16B9E3FA"/>
    <w:rsid w:val="16DFFBFB"/>
    <w:rsid w:val="16FFDB06"/>
    <w:rsid w:val="1703D799"/>
    <w:rsid w:val="1744DACE"/>
    <w:rsid w:val="1756DFEE"/>
    <w:rsid w:val="176CC3FF"/>
    <w:rsid w:val="178DB603"/>
    <w:rsid w:val="17960770"/>
    <w:rsid w:val="179EDAF4"/>
    <w:rsid w:val="17C31C0E"/>
    <w:rsid w:val="17D7F5A0"/>
    <w:rsid w:val="17DD8718"/>
    <w:rsid w:val="17F960C5"/>
    <w:rsid w:val="180A05F2"/>
    <w:rsid w:val="18431AFD"/>
    <w:rsid w:val="185D4BAE"/>
    <w:rsid w:val="188A71E8"/>
    <w:rsid w:val="18ABCCAE"/>
    <w:rsid w:val="18E0AB2F"/>
    <w:rsid w:val="19B11022"/>
    <w:rsid w:val="19BED037"/>
    <w:rsid w:val="19C8C37C"/>
    <w:rsid w:val="19D62094"/>
    <w:rsid w:val="19F65D39"/>
    <w:rsid w:val="1A0B15BE"/>
    <w:rsid w:val="1A1D1544"/>
    <w:rsid w:val="1A546BA4"/>
    <w:rsid w:val="1B14982E"/>
    <w:rsid w:val="1B348B48"/>
    <w:rsid w:val="1B836700"/>
    <w:rsid w:val="1B97A386"/>
    <w:rsid w:val="1BD753BF"/>
    <w:rsid w:val="1BEDD6AC"/>
    <w:rsid w:val="1C77F05D"/>
    <w:rsid w:val="1C9AD6CB"/>
    <w:rsid w:val="1CD44557"/>
    <w:rsid w:val="1CED8754"/>
    <w:rsid w:val="1CF37DFF"/>
    <w:rsid w:val="1D197387"/>
    <w:rsid w:val="1D20C756"/>
    <w:rsid w:val="1D66595F"/>
    <w:rsid w:val="1D992E7C"/>
    <w:rsid w:val="1DA308B9"/>
    <w:rsid w:val="1DD0FA67"/>
    <w:rsid w:val="1E3858D5"/>
    <w:rsid w:val="1E865245"/>
    <w:rsid w:val="1EB72458"/>
    <w:rsid w:val="1EF17B18"/>
    <w:rsid w:val="1EF55316"/>
    <w:rsid w:val="1F0D0779"/>
    <w:rsid w:val="1F6B02B6"/>
    <w:rsid w:val="1F9F5E80"/>
    <w:rsid w:val="206EC224"/>
    <w:rsid w:val="20BC6AE7"/>
    <w:rsid w:val="20C4538F"/>
    <w:rsid w:val="20C87A9D"/>
    <w:rsid w:val="21068E28"/>
    <w:rsid w:val="215C6F24"/>
    <w:rsid w:val="2164A182"/>
    <w:rsid w:val="2187FC93"/>
    <w:rsid w:val="21AD4647"/>
    <w:rsid w:val="224CB40C"/>
    <w:rsid w:val="226542CE"/>
    <w:rsid w:val="2283F9FF"/>
    <w:rsid w:val="22F480EF"/>
    <w:rsid w:val="234111A3"/>
    <w:rsid w:val="2372217C"/>
    <w:rsid w:val="2384E1F6"/>
    <w:rsid w:val="2387FFDE"/>
    <w:rsid w:val="23AF900E"/>
    <w:rsid w:val="23BB62F6"/>
    <w:rsid w:val="23DBFF6A"/>
    <w:rsid w:val="23F70264"/>
    <w:rsid w:val="241B6EED"/>
    <w:rsid w:val="2471B4FE"/>
    <w:rsid w:val="24E9B0AF"/>
    <w:rsid w:val="2599ABA3"/>
    <w:rsid w:val="25A63191"/>
    <w:rsid w:val="25D02A42"/>
    <w:rsid w:val="25E39212"/>
    <w:rsid w:val="25EE8402"/>
    <w:rsid w:val="25EEDBB9"/>
    <w:rsid w:val="25F252D7"/>
    <w:rsid w:val="25F74740"/>
    <w:rsid w:val="26230E36"/>
    <w:rsid w:val="264A4070"/>
    <w:rsid w:val="2673AFFF"/>
    <w:rsid w:val="267A8382"/>
    <w:rsid w:val="268F76C7"/>
    <w:rsid w:val="26A2D752"/>
    <w:rsid w:val="27169489"/>
    <w:rsid w:val="2719C64F"/>
    <w:rsid w:val="271AEAA7"/>
    <w:rsid w:val="27223D59"/>
    <w:rsid w:val="27A0F9B5"/>
    <w:rsid w:val="27CB2209"/>
    <w:rsid w:val="27CBB0A8"/>
    <w:rsid w:val="27EA6C2C"/>
    <w:rsid w:val="28094FCA"/>
    <w:rsid w:val="282F0E64"/>
    <w:rsid w:val="2850AF31"/>
    <w:rsid w:val="286B8586"/>
    <w:rsid w:val="288FF9D4"/>
    <w:rsid w:val="28BA639C"/>
    <w:rsid w:val="28DA0DD1"/>
    <w:rsid w:val="28E62B9A"/>
    <w:rsid w:val="28F8765D"/>
    <w:rsid w:val="29089EEA"/>
    <w:rsid w:val="292375E5"/>
    <w:rsid w:val="29376560"/>
    <w:rsid w:val="297B2C27"/>
    <w:rsid w:val="29B049C1"/>
    <w:rsid w:val="29F144EF"/>
    <w:rsid w:val="29FC970C"/>
    <w:rsid w:val="2A2BB40A"/>
    <w:rsid w:val="2A4428A5"/>
    <w:rsid w:val="2A528B69"/>
    <w:rsid w:val="2A6DB52B"/>
    <w:rsid w:val="2A77DD1F"/>
    <w:rsid w:val="2A794D90"/>
    <w:rsid w:val="2ACF358C"/>
    <w:rsid w:val="2ADE54DF"/>
    <w:rsid w:val="2B400B50"/>
    <w:rsid w:val="2B416285"/>
    <w:rsid w:val="2B5BDA6F"/>
    <w:rsid w:val="2BEE5BCA"/>
    <w:rsid w:val="2C384AE7"/>
    <w:rsid w:val="2C489ECF"/>
    <w:rsid w:val="2C5DF386"/>
    <w:rsid w:val="2C7DE188"/>
    <w:rsid w:val="2C9236FB"/>
    <w:rsid w:val="2CF03AA0"/>
    <w:rsid w:val="2D4E8E20"/>
    <w:rsid w:val="2DA57C35"/>
    <w:rsid w:val="2DE1FF75"/>
    <w:rsid w:val="2E074A80"/>
    <w:rsid w:val="2E4657BA"/>
    <w:rsid w:val="2E4B39BD"/>
    <w:rsid w:val="2E53624E"/>
    <w:rsid w:val="2E878C5D"/>
    <w:rsid w:val="2E8C0B01"/>
    <w:rsid w:val="2EA2889F"/>
    <w:rsid w:val="2EB4D423"/>
    <w:rsid w:val="2ECB5428"/>
    <w:rsid w:val="2ECD85FA"/>
    <w:rsid w:val="2EEACEBB"/>
    <w:rsid w:val="2EED5598"/>
    <w:rsid w:val="2F42AF64"/>
    <w:rsid w:val="2F478BA0"/>
    <w:rsid w:val="2F9A9F18"/>
    <w:rsid w:val="2FB3FCF1"/>
    <w:rsid w:val="2FF770CA"/>
    <w:rsid w:val="3031188B"/>
    <w:rsid w:val="3055FE9F"/>
    <w:rsid w:val="307A1CAC"/>
    <w:rsid w:val="3080241A"/>
    <w:rsid w:val="30D770B4"/>
    <w:rsid w:val="318877FF"/>
    <w:rsid w:val="318EB881"/>
    <w:rsid w:val="3190C48C"/>
    <w:rsid w:val="319FCC1A"/>
    <w:rsid w:val="31B2E289"/>
    <w:rsid w:val="31DE691A"/>
    <w:rsid w:val="31F1CF00"/>
    <w:rsid w:val="31F9C5F9"/>
    <w:rsid w:val="322E893C"/>
    <w:rsid w:val="3250BB84"/>
    <w:rsid w:val="3273A6B7"/>
    <w:rsid w:val="32A78C6B"/>
    <w:rsid w:val="32E0920C"/>
    <w:rsid w:val="32E78364"/>
    <w:rsid w:val="32FE740E"/>
    <w:rsid w:val="3302212F"/>
    <w:rsid w:val="330C5664"/>
    <w:rsid w:val="3323F42B"/>
    <w:rsid w:val="3392C802"/>
    <w:rsid w:val="33961C4A"/>
    <w:rsid w:val="339A86D4"/>
    <w:rsid w:val="33BE3FDE"/>
    <w:rsid w:val="33E5B5F4"/>
    <w:rsid w:val="33FC6F5E"/>
    <w:rsid w:val="343AFAC9"/>
    <w:rsid w:val="34890998"/>
    <w:rsid w:val="3493F0BB"/>
    <w:rsid w:val="34B22136"/>
    <w:rsid w:val="34C65943"/>
    <w:rsid w:val="35365735"/>
    <w:rsid w:val="3550ACC0"/>
    <w:rsid w:val="3562A89F"/>
    <w:rsid w:val="35B0C912"/>
    <w:rsid w:val="35BDB140"/>
    <w:rsid w:val="35DC72E0"/>
    <w:rsid w:val="365F6ADE"/>
    <w:rsid w:val="368C02B2"/>
    <w:rsid w:val="36F5E0A0"/>
    <w:rsid w:val="36FD2401"/>
    <w:rsid w:val="3723ADA2"/>
    <w:rsid w:val="375F4643"/>
    <w:rsid w:val="3767292D"/>
    <w:rsid w:val="377014E9"/>
    <w:rsid w:val="378FBFEC"/>
    <w:rsid w:val="381422CF"/>
    <w:rsid w:val="38428E0C"/>
    <w:rsid w:val="385AA175"/>
    <w:rsid w:val="387AF846"/>
    <w:rsid w:val="388ED744"/>
    <w:rsid w:val="38E58F7F"/>
    <w:rsid w:val="3916CDEF"/>
    <w:rsid w:val="39ADAB1E"/>
    <w:rsid w:val="39F17B26"/>
    <w:rsid w:val="3A02A35C"/>
    <w:rsid w:val="3A815FE0"/>
    <w:rsid w:val="3A912263"/>
    <w:rsid w:val="3AB9B807"/>
    <w:rsid w:val="3AD5D0FA"/>
    <w:rsid w:val="3B2C7CEE"/>
    <w:rsid w:val="3B2E4BFC"/>
    <w:rsid w:val="3B56B412"/>
    <w:rsid w:val="3B854B60"/>
    <w:rsid w:val="3B9C8617"/>
    <w:rsid w:val="3BF2A698"/>
    <w:rsid w:val="3C66B01F"/>
    <w:rsid w:val="3C7F7828"/>
    <w:rsid w:val="3C9BFED3"/>
    <w:rsid w:val="3C9D246E"/>
    <w:rsid w:val="3C9E8CE8"/>
    <w:rsid w:val="3CA40ABE"/>
    <w:rsid w:val="3CCC2CB8"/>
    <w:rsid w:val="3D652224"/>
    <w:rsid w:val="3DB267E7"/>
    <w:rsid w:val="3DBA05F6"/>
    <w:rsid w:val="3DD83BB1"/>
    <w:rsid w:val="3E024DAF"/>
    <w:rsid w:val="3E072D54"/>
    <w:rsid w:val="3E121354"/>
    <w:rsid w:val="3E53B371"/>
    <w:rsid w:val="3E9CCB7B"/>
    <w:rsid w:val="3ECAEE05"/>
    <w:rsid w:val="3ED426D9"/>
    <w:rsid w:val="3EF66BAD"/>
    <w:rsid w:val="3F3BA743"/>
    <w:rsid w:val="3F621273"/>
    <w:rsid w:val="3F649386"/>
    <w:rsid w:val="3F64B1BF"/>
    <w:rsid w:val="3F73A7AD"/>
    <w:rsid w:val="3F804CFC"/>
    <w:rsid w:val="3F92DD62"/>
    <w:rsid w:val="3FD39F95"/>
    <w:rsid w:val="3FD620D2"/>
    <w:rsid w:val="3FE2E3BF"/>
    <w:rsid w:val="4008AEC8"/>
    <w:rsid w:val="401EA204"/>
    <w:rsid w:val="40277CB0"/>
    <w:rsid w:val="40314C49"/>
    <w:rsid w:val="40344E97"/>
    <w:rsid w:val="403E3E43"/>
    <w:rsid w:val="4051AC69"/>
    <w:rsid w:val="405D0A1C"/>
    <w:rsid w:val="406FF73A"/>
    <w:rsid w:val="40A82E50"/>
    <w:rsid w:val="40E34B0E"/>
    <w:rsid w:val="41B28B4D"/>
    <w:rsid w:val="41EF8C54"/>
    <w:rsid w:val="420BC79B"/>
    <w:rsid w:val="4253028D"/>
    <w:rsid w:val="42830BEB"/>
    <w:rsid w:val="428386BD"/>
    <w:rsid w:val="429AAB49"/>
    <w:rsid w:val="42A0F070"/>
    <w:rsid w:val="42A32712"/>
    <w:rsid w:val="42BCC946"/>
    <w:rsid w:val="42E84FD7"/>
    <w:rsid w:val="42F1371E"/>
    <w:rsid w:val="430CE56F"/>
    <w:rsid w:val="434B8F22"/>
    <w:rsid w:val="436BEF59"/>
    <w:rsid w:val="439DC77B"/>
    <w:rsid w:val="43A6A675"/>
    <w:rsid w:val="43CC571E"/>
    <w:rsid w:val="44104F62"/>
    <w:rsid w:val="44718F33"/>
    <w:rsid w:val="447903A6"/>
    <w:rsid w:val="44E6769E"/>
    <w:rsid w:val="44F7B235"/>
    <w:rsid w:val="45570BAC"/>
    <w:rsid w:val="45C17879"/>
    <w:rsid w:val="45D24C0B"/>
    <w:rsid w:val="46346873"/>
    <w:rsid w:val="46589C06"/>
    <w:rsid w:val="4688FE1F"/>
    <w:rsid w:val="46D1BC8D"/>
    <w:rsid w:val="46D370CA"/>
    <w:rsid w:val="46DE4737"/>
    <w:rsid w:val="46DF38BE"/>
    <w:rsid w:val="46EE9776"/>
    <w:rsid w:val="47211228"/>
    <w:rsid w:val="47213D66"/>
    <w:rsid w:val="473B6806"/>
    <w:rsid w:val="4763FB9D"/>
    <w:rsid w:val="4764C388"/>
    <w:rsid w:val="479DB02F"/>
    <w:rsid w:val="47B3F2D4"/>
    <w:rsid w:val="47CE0383"/>
    <w:rsid w:val="4830F2C4"/>
    <w:rsid w:val="484658B3"/>
    <w:rsid w:val="484AE88C"/>
    <w:rsid w:val="48569B33"/>
    <w:rsid w:val="4863CE68"/>
    <w:rsid w:val="49D59441"/>
    <w:rsid w:val="49F8E2ED"/>
    <w:rsid w:val="4A059EA9"/>
    <w:rsid w:val="4A554B50"/>
    <w:rsid w:val="4A833BED"/>
    <w:rsid w:val="4AA8B3E9"/>
    <w:rsid w:val="4ABA362C"/>
    <w:rsid w:val="4ABC34B5"/>
    <w:rsid w:val="4AC38CB5"/>
    <w:rsid w:val="4AFD1DE4"/>
    <w:rsid w:val="4B715EA3"/>
    <w:rsid w:val="4B721CDD"/>
    <w:rsid w:val="4BB6C296"/>
    <w:rsid w:val="4C12211A"/>
    <w:rsid w:val="4C509D57"/>
    <w:rsid w:val="4C773947"/>
    <w:rsid w:val="4C7CA118"/>
    <w:rsid w:val="4C7EF107"/>
    <w:rsid w:val="4C896E43"/>
    <w:rsid w:val="4C9D8B6C"/>
    <w:rsid w:val="4CAC3484"/>
    <w:rsid w:val="4CC67C44"/>
    <w:rsid w:val="4CC7A276"/>
    <w:rsid w:val="4CE767B4"/>
    <w:rsid w:val="4CFB6B69"/>
    <w:rsid w:val="4D1ED931"/>
    <w:rsid w:val="4E2F7018"/>
    <w:rsid w:val="4E38E6F2"/>
    <w:rsid w:val="4EE328DE"/>
    <w:rsid w:val="4EF47DA8"/>
    <w:rsid w:val="4F000A64"/>
    <w:rsid w:val="4F42B8F9"/>
    <w:rsid w:val="4F437D24"/>
    <w:rsid w:val="4F4978E0"/>
    <w:rsid w:val="4F5E9CF4"/>
    <w:rsid w:val="4F82A287"/>
    <w:rsid w:val="4F9B4C4E"/>
    <w:rsid w:val="4F9E0C77"/>
    <w:rsid w:val="4FC10F05"/>
    <w:rsid w:val="50192959"/>
    <w:rsid w:val="50639860"/>
    <w:rsid w:val="50643CCE"/>
    <w:rsid w:val="50A57517"/>
    <w:rsid w:val="50ACA6D3"/>
    <w:rsid w:val="50C2751A"/>
    <w:rsid w:val="511AE838"/>
    <w:rsid w:val="512BF84B"/>
    <w:rsid w:val="5142E2F8"/>
    <w:rsid w:val="51566197"/>
    <w:rsid w:val="5159925D"/>
    <w:rsid w:val="516C45F5"/>
    <w:rsid w:val="51AF86BA"/>
    <w:rsid w:val="51C77DC9"/>
    <w:rsid w:val="51C8A37D"/>
    <w:rsid w:val="51CF7845"/>
    <w:rsid w:val="5219C330"/>
    <w:rsid w:val="5268D834"/>
    <w:rsid w:val="5276B38C"/>
    <w:rsid w:val="5297A6B6"/>
    <w:rsid w:val="52A222E2"/>
    <w:rsid w:val="52DA05B5"/>
    <w:rsid w:val="52E93095"/>
    <w:rsid w:val="52F5C860"/>
    <w:rsid w:val="53179180"/>
    <w:rsid w:val="533BC2A8"/>
    <w:rsid w:val="536356F2"/>
    <w:rsid w:val="53640665"/>
    <w:rsid w:val="53AE6E95"/>
    <w:rsid w:val="545AD221"/>
    <w:rsid w:val="545C5517"/>
    <w:rsid w:val="5489B417"/>
    <w:rsid w:val="54B26FA2"/>
    <w:rsid w:val="55029397"/>
    <w:rsid w:val="5504BB27"/>
    <w:rsid w:val="5537ADF1"/>
    <w:rsid w:val="5574DE98"/>
    <w:rsid w:val="55B0EBA9"/>
    <w:rsid w:val="55E34845"/>
    <w:rsid w:val="5618AE50"/>
    <w:rsid w:val="5624E5FD"/>
    <w:rsid w:val="5635BD14"/>
    <w:rsid w:val="56A77FBB"/>
    <w:rsid w:val="56CF3A55"/>
    <w:rsid w:val="56D632B2"/>
    <w:rsid w:val="56DCFE74"/>
    <w:rsid w:val="56DEB6EB"/>
    <w:rsid w:val="57127FF9"/>
    <w:rsid w:val="5750B1DF"/>
    <w:rsid w:val="57852863"/>
    <w:rsid w:val="578EBED5"/>
    <w:rsid w:val="579D732B"/>
    <w:rsid w:val="57D717FD"/>
    <w:rsid w:val="57F0A6E9"/>
    <w:rsid w:val="57FCC2CA"/>
    <w:rsid w:val="58675695"/>
    <w:rsid w:val="589953FB"/>
    <w:rsid w:val="589BAA25"/>
    <w:rsid w:val="58C7C808"/>
    <w:rsid w:val="58DCE26E"/>
    <w:rsid w:val="5911E508"/>
    <w:rsid w:val="591E26EA"/>
    <w:rsid w:val="595A8CA8"/>
    <w:rsid w:val="59B4D723"/>
    <w:rsid w:val="59B4ED4E"/>
    <w:rsid w:val="59BB7913"/>
    <w:rsid w:val="59C7F0FA"/>
    <w:rsid w:val="5A0326F6"/>
    <w:rsid w:val="5A670026"/>
    <w:rsid w:val="5A73BF43"/>
    <w:rsid w:val="5A7AC29A"/>
    <w:rsid w:val="5A97DA11"/>
    <w:rsid w:val="5A9F0E2A"/>
    <w:rsid w:val="5ACDF8FE"/>
    <w:rsid w:val="5AF3F958"/>
    <w:rsid w:val="5B120C43"/>
    <w:rsid w:val="5B429B9D"/>
    <w:rsid w:val="5B492C0A"/>
    <w:rsid w:val="5B4AC99D"/>
    <w:rsid w:val="5B77CF1E"/>
    <w:rsid w:val="5B88FAD2"/>
    <w:rsid w:val="5BF40362"/>
    <w:rsid w:val="5C28267F"/>
    <w:rsid w:val="5C31248E"/>
    <w:rsid w:val="5C7F44B4"/>
    <w:rsid w:val="5C922D6A"/>
    <w:rsid w:val="5CA4328A"/>
    <w:rsid w:val="5CD5381B"/>
    <w:rsid w:val="5CEB574D"/>
    <w:rsid w:val="5CF319D5"/>
    <w:rsid w:val="5CFA26E7"/>
    <w:rsid w:val="5D0D8A30"/>
    <w:rsid w:val="5D4B417B"/>
    <w:rsid w:val="5D4DF86F"/>
    <w:rsid w:val="5D5469EC"/>
    <w:rsid w:val="5D987F04"/>
    <w:rsid w:val="5DD30B2B"/>
    <w:rsid w:val="5DE03AD8"/>
    <w:rsid w:val="5E14C878"/>
    <w:rsid w:val="5E6F3614"/>
    <w:rsid w:val="5E73819A"/>
    <w:rsid w:val="5E7590E3"/>
    <w:rsid w:val="5EA6B90C"/>
    <w:rsid w:val="5EB16420"/>
    <w:rsid w:val="5F100906"/>
    <w:rsid w:val="5F2E7BDB"/>
    <w:rsid w:val="5F43B0B2"/>
    <w:rsid w:val="5F469EE4"/>
    <w:rsid w:val="5F812140"/>
    <w:rsid w:val="5FB8D6C2"/>
    <w:rsid w:val="5FD71A19"/>
    <w:rsid w:val="5FDBD34C"/>
    <w:rsid w:val="603DEA00"/>
    <w:rsid w:val="60606492"/>
    <w:rsid w:val="60CECBF6"/>
    <w:rsid w:val="61445C11"/>
    <w:rsid w:val="61860885"/>
    <w:rsid w:val="619ABB6B"/>
    <w:rsid w:val="62B0EBF3"/>
    <w:rsid w:val="62F0CB8F"/>
    <w:rsid w:val="6308B090"/>
    <w:rsid w:val="631414DF"/>
    <w:rsid w:val="6316C27A"/>
    <w:rsid w:val="632F0D16"/>
    <w:rsid w:val="633D529C"/>
    <w:rsid w:val="636661B8"/>
    <w:rsid w:val="636ED90D"/>
    <w:rsid w:val="6382522A"/>
    <w:rsid w:val="63A810FE"/>
    <w:rsid w:val="63C6BD6E"/>
    <w:rsid w:val="64073701"/>
    <w:rsid w:val="64451D68"/>
    <w:rsid w:val="648BF782"/>
    <w:rsid w:val="649D3F4F"/>
    <w:rsid w:val="64B85552"/>
    <w:rsid w:val="64C6838F"/>
    <w:rsid w:val="64D922FD"/>
    <w:rsid w:val="64E4D9C1"/>
    <w:rsid w:val="6508F772"/>
    <w:rsid w:val="65361359"/>
    <w:rsid w:val="6538D4B1"/>
    <w:rsid w:val="65458CFB"/>
    <w:rsid w:val="6572812D"/>
    <w:rsid w:val="65819C8C"/>
    <w:rsid w:val="65D562F5"/>
    <w:rsid w:val="65E542B3"/>
    <w:rsid w:val="66199DD8"/>
    <w:rsid w:val="661B9EAD"/>
    <w:rsid w:val="661D7184"/>
    <w:rsid w:val="661EB1E8"/>
    <w:rsid w:val="669886E9"/>
    <w:rsid w:val="66A3A319"/>
    <w:rsid w:val="67308EEB"/>
    <w:rsid w:val="677E871F"/>
    <w:rsid w:val="67D6CDB7"/>
    <w:rsid w:val="67DDF2B3"/>
    <w:rsid w:val="67E089DF"/>
    <w:rsid w:val="67E988B4"/>
    <w:rsid w:val="684BA153"/>
    <w:rsid w:val="6883FD4B"/>
    <w:rsid w:val="6890355C"/>
    <w:rsid w:val="689A2E91"/>
    <w:rsid w:val="68B336EF"/>
    <w:rsid w:val="68F3E61A"/>
    <w:rsid w:val="68FDE720"/>
    <w:rsid w:val="690D3158"/>
    <w:rsid w:val="6963F4B6"/>
    <w:rsid w:val="69855915"/>
    <w:rsid w:val="69CEF49E"/>
    <w:rsid w:val="69D31410"/>
    <w:rsid w:val="69E34C29"/>
    <w:rsid w:val="6B02D8B7"/>
    <w:rsid w:val="6B394C7F"/>
    <w:rsid w:val="6B7355F8"/>
    <w:rsid w:val="6BAF340E"/>
    <w:rsid w:val="6BF0FECF"/>
    <w:rsid w:val="6C5FF90B"/>
    <w:rsid w:val="6C7CC00B"/>
    <w:rsid w:val="6C7FAA6F"/>
    <w:rsid w:val="6CCBB407"/>
    <w:rsid w:val="6D0E5432"/>
    <w:rsid w:val="6D0F2659"/>
    <w:rsid w:val="6D190344"/>
    <w:rsid w:val="6D6AC146"/>
    <w:rsid w:val="6DB4B79D"/>
    <w:rsid w:val="6DC8DB67"/>
    <w:rsid w:val="6DD8774C"/>
    <w:rsid w:val="6DDB8A47"/>
    <w:rsid w:val="6DFA6040"/>
    <w:rsid w:val="6E2DA1D8"/>
    <w:rsid w:val="6E95F464"/>
    <w:rsid w:val="6EA3EEA5"/>
    <w:rsid w:val="6EB237B7"/>
    <w:rsid w:val="6ECB99BA"/>
    <w:rsid w:val="6ED459F7"/>
    <w:rsid w:val="6F27CAB0"/>
    <w:rsid w:val="6F5393C2"/>
    <w:rsid w:val="6F7FA896"/>
    <w:rsid w:val="6FA34AD6"/>
    <w:rsid w:val="6FA48000"/>
    <w:rsid w:val="6FB44D13"/>
    <w:rsid w:val="6FC063AF"/>
    <w:rsid w:val="6FE281AC"/>
    <w:rsid w:val="6FF7E2AC"/>
    <w:rsid w:val="700162AC"/>
    <w:rsid w:val="7021DBF5"/>
    <w:rsid w:val="70A6B284"/>
    <w:rsid w:val="70B196EC"/>
    <w:rsid w:val="70C2A150"/>
    <w:rsid w:val="70DF0F40"/>
    <w:rsid w:val="711B78F7"/>
    <w:rsid w:val="71256996"/>
    <w:rsid w:val="713B7102"/>
    <w:rsid w:val="71C09C4A"/>
    <w:rsid w:val="71FC6B1E"/>
    <w:rsid w:val="720521F2"/>
    <w:rsid w:val="72105C82"/>
    <w:rsid w:val="723AFEC2"/>
    <w:rsid w:val="725840AC"/>
    <w:rsid w:val="72584A93"/>
    <w:rsid w:val="72C0358E"/>
    <w:rsid w:val="72CEFC83"/>
    <w:rsid w:val="730B774D"/>
    <w:rsid w:val="73C06A6F"/>
    <w:rsid w:val="73D157AA"/>
    <w:rsid w:val="73F41AF4"/>
    <w:rsid w:val="740D4351"/>
    <w:rsid w:val="741FA4B8"/>
    <w:rsid w:val="74658E73"/>
    <w:rsid w:val="74722AD0"/>
    <w:rsid w:val="7490E2D3"/>
    <w:rsid w:val="74A4FD8A"/>
    <w:rsid w:val="74C6921F"/>
    <w:rsid w:val="750E7649"/>
    <w:rsid w:val="7543CFC6"/>
    <w:rsid w:val="759682AD"/>
    <w:rsid w:val="75BB85B3"/>
    <w:rsid w:val="76122138"/>
    <w:rsid w:val="76572100"/>
    <w:rsid w:val="7667E590"/>
    <w:rsid w:val="7690F645"/>
    <w:rsid w:val="76CB4B18"/>
    <w:rsid w:val="76D601CE"/>
    <w:rsid w:val="76DD79D6"/>
    <w:rsid w:val="76DDE853"/>
    <w:rsid w:val="77046096"/>
    <w:rsid w:val="77195D82"/>
    <w:rsid w:val="777F9B2F"/>
    <w:rsid w:val="7791C78D"/>
    <w:rsid w:val="77D0057F"/>
    <w:rsid w:val="77D9C904"/>
    <w:rsid w:val="780337C8"/>
    <w:rsid w:val="7861CC98"/>
    <w:rsid w:val="78ACCEC0"/>
    <w:rsid w:val="78CB2FB7"/>
    <w:rsid w:val="78E81D54"/>
    <w:rsid w:val="7906D6BA"/>
    <w:rsid w:val="791B410B"/>
    <w:rsid w:val="7929E27D"/>
    <w:rsid w:val="79879E85"/>
    <w:rsid w:val="79AD306B"/>
    <w:rsid w:val="79B1161D"/>
    <w:rsid w:val="79CCD3B0"/>
    <w:rsid w:val="7A13ABDF"/>
    <w:rsid w:val="7A31646A"/>
    <w:rsid w:val="7A412FD1"/>
    <w:rsid w:val="7A489F21"/>
    <w:rsid w:val="7A761775"/>
    <w:rsid w:val="7A9F78BB"/>
    <w:rsid w:val="7AA43421"/>
    <w:rsid w:val="7AF04186"/>
    <w:rsid w:val="7B1EB017"/>
    <w:rsid w:val="7B236EE6"/>
    <w:rsid w:val="7B33A4C5"/>
    <w:rsid w:val="7B38A705"/>
    <w:rsid w:val="7B9CB60C"/>
    <w:rsid w:val="7BCDED06"/>
    <w:rsid w:val="7C10A519"/>
    <w:rsid w:val="7C11E7D6"/>
    <w:rsid w:val="7C185536"/>
    <w:rsid w:val="7C321FA3"/>
    <w:rsid w:val="7C44D9A5"/>
    <w:rsid w:val="7C61833F"/>
    <w:rsid w:val="7C87AC7B"/>
    <w:rsid w:val="7CCFB90A"/>
    <w:rsid w:val="7CFB22F5"/>
    <w:rsid w:val="7D073B6F"/>
    <w:rsid w:val="7D0AE698"/>
    <w:rsid w:val="7D27A87F"/>
    <w:rsid w:val="7D5A8083"/>
    <w:rsid w:val="7D97646F"/>
    <w:rsid w:val="7DB587A9"/>
    <w:rsid w:val="7E1AE37A"/>
    <w:rsid w:val="7E8F6F08"/>
    <w:rsid w:val="7EAAE0A1"/>
    <w:rsid w:val="7ED456CE"/>
    <w:rsid w:val="7EDA7DEC"/>
    <w:rsid w:val="7F2EFF75"/>
    <w:rsid w:val="7F3365EC"/>
    <w:rsid w:val="7F4F5C22"/>
    <w:rsid w:val="7F4FAFB6"/>
    <w:rsid w:val="7F9D2AA8"/>
    <w:rsid w:val="7FB58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230E36"/>
  <w15:chartTrackingRefBased/>
  <w15:docId w15:val="{DC4DEFC1-BD9C-4AB4-904F-FC288626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52"/>
    <w:pPr>
      <w:jc w:val="both"/>
    </w:pPr>
    <w:rPr>
      <w:lang w:val="en-GB"/>
    </w:rPr>
  </w:style>
  <w:style w:type="paragraph" w:styleId="Heading1">
    <w:name w:val="heading 1"/>
    <w:basedOn w:val="Normal"/>
    <w:next w:val="Normal"/>
    <w:link w:val="Heading1Char"/>
    <w:uiPriority w:val="9"/>
    <w:qFormat/>
    <w:rsid w:val="003157C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3157C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3157C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157C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157C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157C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157C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3157C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3157C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3157CE"/>
    <w:rPr>
      <w:rFonts w:asciiTheme="majorHAnsi" w:eastAsiaTheme="majorEastAsia" w:hAnsiTheme="majorHAnsi" w:cstheme="majorBidi"/>
      <w:color w:val="262626" w:themeColor="text1" w:themeTint="D9"/>
      <w:sz w:val="96"/>
      <w:szCs w:val="96"/>
    </w:rPr>
  </w:style>
  <w:style w:type="paragraph" w:styleId="Title">
    <w:name w:val="Title"/>
    <w:basedOn w:val="Normal"/>
    <w:next w:val="Normal"/>
    <w:link w:val="TitleChar"/>
    <w:uiPriority w:val="10"/>
    <w:qFormat/>
    <w:rsid w:val="003157CE"/>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7F1A72"/>
    <w:rPr>
      <w:sz w:val="16"/>
      <w:szCs w:val="16"/>
    </w:rPr>
  </w:style>
  <w:style w:type="paragraph" w:styleId="CommentText">
    <w:name w:val="annotation text"/>
    <w:basedOn w:val="Normal"/>
    <w:link w:val="CommentTextChar"/>
    <w:uiPriority w:val="99"/>
    <w:unhideWhenUsed/>
    <w:rsid w:val="007F1A72"/>
    <w:pPr>
      <w:spacing w:line="240" w:lineRule="auto"/>
    </w:pPr>
    <w:rPr>
      <w:sz w:val="20"/>
      <w:szCs w:val="20"/>
    </w:rPr>
  </w:style>
  <w:style w:type="character" w:customStyle="1" w:styleId="CommentTextChar">
    <w:name w:val="Comment Text Char"/>
    <w:basedOn w:val="DefaultParagraphFont"/>
    <w:link w:val="CommentText"/>
    <w:uiPriority w:val="99"/>
    <w:rsid w:val="007F1A72"/>
    <w:rPr>
      <w:sz w:val="20"/>
      <w:szCs w:val="20"/>
    </w:rPr>
  </w:style>
  <w:style w:type="paragraph" w:styleId="CommentSubject">
    <w:name w:val="annotation subject"/>
    <w:basedOn w:val="CommentText"/>
    <w:next w:val="CommentText"/>
    <w:link w:val="CommentSubjectChar"/>
    <w:uiPriority w:val="99"/>
    <w:semiHidden/>
    <w:unhideWhenUsed/>
    <w:rsid w:val="007F1A72"/>
    <w:rPr>
      <w:b/>
      <w:bCs/>
    </w:rPr>
  </w:style>
  <w:style w:type="character" w:customStyle="1" w:styleId="CommentSubjectChar">
    <w:name w:val="Comment Subject Char"/>
    <w:basedOn w:val="CommentTextChar"/>
    <w:link w:val="CommentSubject"/>
    <w:uiPriority w:val="99"/>
    <w:semiHidden/>
    <w:rsid w:val="007F1A72"/>
    <w:rPr>
      <w:b/>
      <w:bCs/>
      <w:sz w:val="20"/>
      <w:szCs w:val="20"/>
    </w:rPr>
  </w:style>
  <w:style w:type="paragraph" w:styleId="BalloonText">
    <w:name w:val="Balloon Text"/>
    <w:basedOn w:val="Normal"/>
    <w:link w:val="BalloonTextChar"/>
    <w:uiPriority w:val="99"/>
    <w:semiHidden/>
    <w:unhideWhenUsed/>
    <w:rsid w:val="007F1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72"/>
    <w:rPr>
      <w:rFonts w:ascii="Segoe UI" w:hAnsi="Segoe UI" w:cs="Segoe UI"/>
      <w:sz w:val="18"/>
      <w:szCs w:val="18"/>
    </w:rPr>
  </w:style>
  <w:style w:type="character" w:customStyle="1" w:styleId="Heading1Char">
    <w:name w:val="Heading 1 Char"/>
    <w:basedOn w:val="DefaultParagraphFont"/>
    <w:link w:val="Heading1"/>
    <w:uiPriority w:val="9"/>
    <w:rsid w:val="003157C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3157C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3157C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157C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157C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157C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157C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157C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157C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157C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3157C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157CE"/>
    <w:rPr>
      <w:caps/>
      <w:color w:val="404040" w:themeColor="text1" w:themeTint="BF"/>
      <w:spacing w:val="20"/>
      <w:sz w:val="28"/>
      <w:szCs w:val="28"/>
    </w:rPr>
  </w:style>
  <w:style w:type="character" w:styleId="Strong">
    <w:name w:val="Strong"/>
    <w:basedOn w:val="DefaultParagraphFont"/>
    <w:uiPriority w:val="22"/>
    <w:qFormat/>
    <w:rsid w:val="003157CE"/>
    <w:rPr>
      <w:b/>
      <w:bCs/>
    </w:rPr>
  </w:style>
  <w:style w:type="character" w:styleId="Emphasis">
    <w:name w:val="Emphasis"/>
    <w:basedOn w:val="DefaultParagraphFont"/>
    <w:uiPriority w:val="20"/>
    <w:qFormat/>
    <w:rsid w:val="003157CE"/>
    <w:rPr>
      <w:i/>
      <w:iCs/>
      <w:color w:val="000000" w:themeColor="text1"/>
    </w:rPr>
  </w:style>
  <w:style w:type="paragraph" w:styleId="NoSpacing">
    <w:name w:val="No Spacing"/>
    <w:uiPriority w:val="1"/>
    <w:qFormat/>
    <w:rsid w:val="003157CE"/>
    <w:pPr>
      <w:spacing w:after="0" w:line="240" w:lineRule="auto"/>
    </w:pPr>
  </w:style>
  <w:style w:type="paragraph" w:styleId="Quote">
    <w:name w:val="Quote"/>
    <w:basedOn w:val="Normal"/>
    <w:next w:val="Normal"/>
    <w:link w:val="QuoteChar"/>
    <w:uiPriority w:val="29"/>
    <w:qFormat/>
    <w:rsid w:val="003157C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157CE"/>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157C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157CE"/>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157CE"/>
    <w:rPr>
      <w:i/>
      <w:iCs/>
      <w:color w:val="595959" w:themeColor="text1" w:themeTint="A6"/>
    </w:rPr>
  </w:style>
  <w:style w:type="character" w:styleId="IntenseEmphasis">
    <w:name w:val="Intense Emphasis"/>
    <w:basedOn w:val="DefaultParagraphFont"/>
    <w:uiPriority w:val="21"/>
    <w:qFormat/>
    <w:rsid w:val="003157CE"/>
    <w:rPr>
      <w:b/>
      <w:bCs/>
      <w:i/>
      <w:iCs/>
      <w:caps w:val="0"/>
      <w:smallCaps w:val="0"/>
      <w:strike w:val="0"/>
      <w:dstrike w:val="0"/>
      <w:color w:val="ED7D31" w:themeColor="accent2"/>
    </w:rPr>
  </w:style>
  <w:style w:type="character" w:styleId="SubtleReference">
    <w:name w:val="Subtle Reference"/>
    <w:basedOn w:val="DefaultParagraphFont"/>
    <w:uiPriority w:val="31"/>
    <w:qFormat/>
    <w:rsid w:val="003157C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57CE"/>
    <w:rPr>
      <w:b/>
      <w:bCs/>
      <w:caps w:val="0"/>
      <w:smallCaps/>
      <w:color w:val="auto"/>
      <w:spacing w:val="0"/>
      <w:u w:val="single"/>
    </w:rPr>
  </w:style>
  <w:style w:type="character" w:styleId="BookTitle">
    <w:name w:val="Book Title"/>
    <w:basedOn w:val="DefaultParagraphFont"/>
    <w:uiPriority w:val="33"/>
    <w:qFormat/>
    <w:rsid w:val="003157CE"/>
    <w:rPr>
      <w:b/>
      <w:bCs/>
      <w:caps w:val="0"/>
      <w:smallCaps/>
      <w:spacing w:val="0"/>
    </w:rPr>
  </w:style>
  <w:style w:type="paragraph" w:styleId="TOCHeading">
    <w:name w:val="TOC Heading"/>
    <w:basedOn w:val="Heading1"/>
    <w:next w:val="Normal"/>
    <w:uiPriority w:val="39"/>
    <w:unhideWhenUsed/>
    <w:qFormat/>
    <w:rsid w:val="003157CE"/>
    <w:pPr>
      <w:outlineLvl w:val="9"/>
    </w:pPr>
  </w:style>
  <w:style w:type="paragraph" w:styleId="TOC1">
    <w:name w:val="toc 1"/>
    <w:basedOn w:val="Normal"/>
    <w:next w:val="Normal"/>
    <w:autoRedefine/>
    <w:uiPriority w:val="39"/>
    <w:unhideWhenUsed/>
    <w:rsid w:val="00007255"/>
    <w:pPr>
      <w:spacing w:after="100"/>
    </w:pPr>
  </w:style>
  <w:style w:type="paragraph" w:styleId="TOC2">
    <w:name w:val="toc 2"/>
    <w:basedOn w:val="Normal"/>
    <w:next w:val="Normal"/>
    <w:autoRedefine/>
    <w:uiPriority w:val="39"/>
    <w:unhideWhenUsed/>
    <w:rsid w:val="00007255"/>
    <w:pPr>
      <w:spacing w:after="100"/>
      <w:ind w:left="210"/>
    </w:pPr>
  </w:style>
  <w:style w:type="paragraph" w:customStyle="1" w:styleId="ReportListNumber">
    <w:name w:val="Report List Number"/>
    <w:rsid w:val="00281E42"/>
    <w:pPr>
      <w:numPr>
        <w:numId w:val="8"/>
      </w:numPr>
      <w:tabs>
        <w:tab w:val="clear" w:pos="567"/>
        <w:tab w:val="num" w:pos="360"/>
      </w:tabs>
      <w:spacing w:before="113" w:after="113" w:line="260" w:lineRule="atLeast"/>
      <w:ind w:left="0" w:firstLine="0"/>
    </w:pPr>
    <w:rPr>
      <w:rFonts w:ascii="Times New Roman" w:eastAsia="Times New Roman" w:hAnsi="Times New Roman" w:cs="Times New Roman"/>
      <w:sz w:val="24"/>
      <w:szCs w:val="24"/>
      <w:lang w:val="en-GB" w:eastAsia="zh-CN"/>
    </w:rPr>
  </w:style>
  <w:style w:type="numbering" w:customStyle="1" w:styleId="ReportListNumberStyle">
    <w:name w:val="Report List Number Style"/>
    <w:uiPriority w:val="99"/>
    <w:rsid w:val="00281E42"/>
    <w:pPr>
      <w:numPr>
        <w:numId w:val="8"/>
      </w:numPr>
    </w:pPr>
  </w:style>
  <w:style w:type="paragraph" w:styleId="FootnoteText">
    <w:name w:val="footnote text"/>
    <w:basedOn w:val="Normal"/>
    <w:link w:val="FootnoteTextChar"/>
    <w:uiPriority w:val="99"/>
    <w:semiHidden/>
    <w:unhideWhenUsed/>
    <w:rsid w:val="005A6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1BD"/>
    <w:rPr>
      <w:sz w:val="20"/>
      <w:szCs w:val="20"/>
      <w:lang w:val="en-GB"/>
    </w:rPr>
  </w:style>
  <w:style w:type="character" w:styleId="FootnoteReference">
    <w:name w:val="footnote reference"/>
    <w:basedOn w:val="DefaultParagraphFont"/>
    <w:uiPriority w:val="99"/>
    <w:semiHidden/>
    <w:unhideWhenUsed/>
    <w:rsid w:val="005A6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26421">
      <w:bodyDiv w:val="1"/>
      <w:marLeft w:val="0"/>
      <w:marRight w:val="0"/>
      <w:marTop w:val="0"/>
      <w:marBottom w:val="0"/>
      <w:divBdr>
        <w:top w:val="none" w:sz="0" w:space="0" w:color="auto"/>
        <w:left w:val="none" w:sz="0" w:space="0" w:color="auto"/>
        <w:bottom w:val="none" w:sz="0" w:space="0" w:color="auto"/>
        <w:right w:val="none" w:sz="0" w:space="0" w:color="auto"/>
      </w:divBdr>
    </w:div>
    <w:div w:id="16973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anner.topsec.com/?t=979834e3b1c3f1b654a4b258a4699507cf79132f&amp;d=1962&amp;u=http%3A%2F%2Fwww.epa.ie%2Fpubs%2Fadvice%2Fea%2Fseaoflanduseplans-eparecommendationsand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5136-8F7B-4E5A-B5AD-9E144EFD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6204</Words>
  <Characters>35366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Browne</dc:creator>
  <cp:keywords/>
  <dc:description/>
  <cp:lastModifiedBy>Fergus Browne</cp:lastModifiedBy>
  <cp:revision>12</cp:revision>
  <dcterms:created xsi:type="dcterms:W3CDTF">2021-03-16T15:09:00Z</dcterms:created>
  <dcterms:modified xsi:type="dcterms:W3CDTF">2021-03-16T17:10:00Z</dcterms:modified>
</cp:coreProperties>
</file>